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95B4" w14:textId="22F4D039" w:rsidR="006A1955" w:rsidRPr="0000209D" w:rsidRDefault="006A1955" w:rsidP="006A1955">
      <w:pPr>
        <w:jc w:val="center"/>
        <w:outlineLvl w:val="0"/>
        <w:rPr>
          <w:rFonts w:ascii="Century Gothic" w:hAnsi="Century Gothic" w:cs="Arial"/>
          <w:b/>
          <w:bCs/>
          <w:lang w:val="es-ES"/>
        </w:rPr>
      </w:pPr>
      <w:r w:rsidRPr="0000209D">
        <w:rPr>
          <w:rFonts w:ascii="Century Gothic" w:hAnsi="Century Gothic" w:cs="Arial"/>
          <w:b/>
          <w:bCs/>
          <w:lang w:val="es-ES"/>
        </w:rPr>
        <w:t>FORMATO</w:t>
      </w:r>
      <w:r w:rsidR="009E4071">
        <w:rPr>
          <w:rFonts w:ascii="Century Gothic" w:hAnsi="Century Gothic" w:cs="Arial"/>
          <w:b/>
          <w:bCs/>
          <w:lang w:val="es-ES"/>
        </w:rPr>
        <w:t xml:space="preserve"> </w:t>
      </w:r>
      <w:r w:rsidR="00B20B4F">
        <w:rPr>
          <w:rFonts w:ascii="Century Gothic" w:hAnsi="Century Gothic" w:cs="Arial"/>
          <w:b/>
          <w:bCs/>
          <w:lang w:val="es-ES"/>
        </w:rPr>
        <w:t>3</w:t>
      </w:r>
    </w:p>
    <w:p w14:paraId="62F9DD73" w14:textId="77777777" w:rsidR="006A1955" w:rsidRPr="0000209D" w:rsidRDefault="006A1955" w:rsidP="006A1955">
      <w:pPr>
        <w:jc w:val="center"/>
        <w:outlineLvl w:val="0"/>
        <w:rPr>
          <w:rFonts w:ascii="Century Gothic" w:hAnsi="Century Gothic" w:cs="Arial"/>
          <w:b/>
          <w:lang w:val="es-ES"/>
        </w:rPr>
      </w:pPr>
      <w:r w:rsidRPr="0000209D">
        <w:rPr>
          <w:rFonts w:ascii="Century Gothic" w:hAnsi="Century Gothic" w:cs="Arial"/>
          <w:b/>
          <w:bCs/>
          <w:lang w:val="es-ES"/>
        </w:rPr>
        <w:t>OPINIÓN DE LAS COMISIONES ORDINARIAS</w:t>
      </w:r>
    </w:p>
    <w:p w14:paraId="00CC1F71" w14:textId="77777777" w:rsidR="006A1955" w:rsidRPr="0000209D" w:rsidRDefault="006A1955" w:rsidP="006A1955">
      <w:pPr>
        <w:jc w:val="right"/>
        <w:outlineLvl w:val="0"/>
        <w:rPr>
          <w:rFonts w:ascii="Century Gothic" w:hAnsi="Century Gothic" w:cs="Arial"/>
          <w:lang w:val="es-ES"/>
        </w:rPr>
      </w:pPr>
      <w:r w:rsidRPr="0000209D">
        <w:rPr>
          <w:rFonts w:ascii="Century Gothic" w:hAnsi="Century Gothic" w:cs="Arial"/>
          <w:highlight w:val="lightGray"/>
          <w:lang w:val="es-ES"/>
        </w:rPr>
        <w:t>Fecha</w:t>
      </w:r>
    </w:p>
    <w:p w14:paraId="2C67DF2A" w14:textId="15753490" w:rsidR="006A1955" w:rsidRPr="0000209D" w:rsidRDefault="006A1955" w:rsidP="006A1955">
      <w:pPr>
        <w:pStyle w:val="Textoindependiente2"/>
        <w:spacing w:after="0" w:line="240" w:lineRule="auto"/>
        <w:jc w:val="center"/>
        <w:outlineLvl w:val="0"/>
        <w:rPr>
          <w:rFonts w:ascii="Century Gothic" w:hAnsi="Century Gothic" w:cs="Arial"/>
          <w:b/>
          <w:bCs/>
          <w:sz w:val="22"/>
          <w:szCs w:val="22"/>
        </w:rPr>
      </w:pPr>
      <w:r w:rsidRPr="0000209D">
        <w:rPr>
          <w:rFonts w:ascii="Century Gothic" w:hAnsi="Century Gothic" w:cs="Arial"/>
          <w:b/>
          <w:bCs/>
          <w:sz w:val="22"/>
          <w:szCs w:val="22"/>
        </w:rPr>
        <w:t xml:space="preserve">OPINIÓN DE LA COMISIÓN DE </w:t>
      </w:r>
      <w:r w:rsidRPr="0000209D">
        <w:rPr>
          <w:rFonts w:ascii="Century Gothic" w:hAnsi="Century Gothic" w:cs="Arial"/>
          <w:bCs/>
          <w:sz w:val="22"/>
          <w:szCs w:val="22"/>
          <w:highlight w:val="lightGray"/>
        </w:rPr>
        <w:t>___________________</w:t>
      </w:r>
      <w:r w:rsidRPr="0000209D">
        <w:rPr>
          <w:rFonts w:ascii="Century Gothic" w:hAnsi="Century Gothic" w:cs="Arial"/>
          <w:b/>
          <w:bCs/>
          <w:i/>
          <w:sz w:val="22"/>
          <w:szCs w:val="22"/>
        </w:rPr>
        <w:t xml:space="preserve"> </w:t>
      </w:r>
      <w:r w:rsidRPr="0000209D">
        <w:rPr>
          <w:rFonts w:ascii="Century Gothic" w:hAnsi="Century Gothic" w:cs="Arial"/>
          <w:b/>
          <w:bCs/>
          <w:sz w:val="22"/>
          <w:szCs w:val="22"/>
        </w:rPr>
        <w:t>RESPECTO AL PROYECTO DE PRESUPUESTO DE EGRESOS DE LA FEDERACIÓN PARA EL EJERCICIO FISCAL 202</w:t>
      </w:r>
      <w:r w:rsidR="00332EE8" w:rsidRPr="0000209D">
        <w:rPr>
          <w:rFonts w:ascii="Century Gothic" w:hAnsi="Century Gothic" w:cs="Arial"/>
          <w:b/>
          <w:bCs/>
          <w:sz w:val="22"/>
          <w:szCs w:val="22"/>
        </w:rPr>
        <w:t>2</w:t>
      </w:r>
    </w:p>
    <w:p w14:paraId="27E920E8" w14:textId="77777777" w:rsidR="006A1955" w:rsidRPr="0000209D" w:rsidRDefault="006A1955" w:rsidP="006A1955">
      <w:pPr>
        <w:pStyle w:val="Textoindependiente2"/>
        <w:spacing w:after="0" w:line="240" w:lineRule="auto"/>
        <w:jc w:val="center"/>
        <w:outlineLvl w:val="0"/>
        <w:rPr>
          <w:rFonts w:ascii="Century Gothic" w:hAnsi="Century Gothic" w:cs="Arial"/>
          <w:b/>
          <w:bCs/>
          <w:sz w:val="22"/>
          <w:szCs w:val="22"/>
        </w:rPr>
      </w:pPr>
    </w:p>
    <w:p w14:paraId="35A0252C" w14:textId="2A9110F8" w:rsidR="006A1955" w:rsidRPr="0000209D" w:rsidRDefault="006A1955" w:rsidP="006A1955">
      <w:pPr>
        <w:spacing w:before="100" w:beforeAutospacing="1" w:after="100" w:afterAutospacing="1"/>
        <w:jc w:val="both"/>
        <w:rPr>
          <w:rFonts w:ascii="Century Gothic" w:hAnsi="Century Gothic" w:cs="Arial"/>
          <w:lang w:val="es-ES"/>
        </w:rPr>
      </w:pPr>
      <w:r w:rsidRPr="0000209D">
        <w:rPr>
          <w:rFonts w:ascii="Century Gothic" w:hAnsi="Century Gothic" w:cs="Arial"/>
          <w:lang w:val="es-ES"/>
        </w:rPr>
        <w:t xml:space="preserve">La Comisión de Presupuesto y Cuenta Pública, con fundamento en lo dispuesto por los artículos 74, fracción IV de la Constitución Política de los Estados Unidos Mexicanos; </w:t>
      </w:r>
      <w:r w:rsidRPr="0000209D">
        <w:rPr>
          <w:rFonts w:ascii="Century Gothic" w:hAnsi="Century Gothic" w:cs="Arial"/>
          <w:lang w:val="es-ES" w:eastAsia="es-MX"/>
        </w:rPr>
        <w:t>39, 44 numeral 4 y 45 numeral 6, incisos f) y g) de la Ley Orgánica del Congreso General de los Estados Unidos Mexicanos; 42 fracción VIII de la Ley Federal de Presupuesto y Responsabilidad Hacendaria (LFPRH)</w:t>
      </w:r>
      <w:r w:rsidRPr="0000209D">
        <w:rPr>
          <w:rFonts w:ascii="Century Gothic" w:hAnsi="Century Gothic" w:cs="Arial"/>
          <w:b/>
          <w:lang w:val="es-ES" w:eastAsia="es-MX"/>
        </w:rPr>
        <w:t xml:space="preserve">; </w:t>
      </w:r>
      <w:r w:rsidRPr="0000209D">
        <w:rPr>
          <w:rFonts w:ascii="Century Gothic" w:hAnsi="Century Gothic" w:cs="Arial"/>
          <w:lang w:val="es-ES" w:eastAsia="es-MX"/>
        </w:rPr>
        <w:t xml:space="preserve">69 numeral 4, 79 numeral 3 fracción II, </w:t>
      </w:r>
      <w:r w:rsidRPr="0000209D">
        <w:rPr>
          <w:rFonts w:ascii="Century Gothic" w:hAnsi="Century Gothic" w:cs="Arial"/>
          <w:lang w:val="es-ES"/>
        </w:rPr>
        <w:t xml:space="preserve">157 numeral 1 fracción IV, </w:t>
      </w:r>
      <w:r w:rsidRPr="0000209D">
        <w:rPr>
          <w:rFonts w:ascii="Century Gothic" w:hAnsi="Century Gothic" w:cs="Arial"/>
          <w:lang w:val="es-ES" w:eastAsia="es-MX"/>
        </w:rPr>
        <w:t xml:space="preserve">167 numerales 1 y 4, 191 numerales 1, 2 y 3, 198 numeral 5 y 220 del Reglamento de la Cámara de Diputados del H. Congreso de la Unión </w:t>
      </w:r>
      <w:r w:rsidRPr="0000209D">
        <w:rPr>
          <w:rFonts w:ascii="Century Gothic" w:hAnsi="Century Gothic" w:cs="Arial"/>
          <w:lang w:val="es-ES"/>
        </w:rPr>
        <w:t xml:space="preserve">emitió el </w:t>
      </w:r>
      <w:r w:rsidRPr="0000209D">
        <w:rPr>
          <w:rFonts w:ascii="Century Gothic" w:hAnsi="Century Gothic" w:cs="Arial"/>
          <w:b/>
          <w:lang w:val="es-ES"/>
        </w:rPr>
        <w:t>Acuerdo por el que se establecen los Lineamientos para el procedimiento de participación de las comisiones ordinarias en el análisis del Proyecto de Presupuesto de Egresos de la Federación para el Ejercicio Fiscal 202</w:t>
      </w:r>
      <w:r w:rsidR="00332EE8" w:rsidRPr="0000209D">
        <w:rPr>
          <w:rFonts w:ascii="Century Gothic" w:hAnsi="Century Gothic" w:cs="Arial"/>
          <w:b/>
          <w:lang w:val="es-ES"/>
        </w:rPr>
        <w:t>2</w:t>
      </w:r>
      <w:r w:rsidRPr="0000209D">
        <w:rPr>
          <w:rFonts w:ascii="Century Gothic" w:hAnsi="Century Gothic" w:cs="Arial"/>
          <w:lang w:val="es-ES"/>
        </w:rPr>
        <w:t xml:space="preserve">, publicado en la Gaceta Parlamentaria el día </w:t>
      </w:r>
      <w:r w:rsidRPr="0000209D">
        <w:rPr>
          <w:rFonts w:ascii="Century Gothic" w:hAnsi="Century Gothic" w:cs="Arial"/>
          <w:highlight w:val="lightGray"/>
          <w:lang w:val="es-ES"/>
        </w:rPr>
        <w:t>___</w:t>
      </w:r>
      <w:r w:rsidRPr="0000209D">
        <w:rPr>
          <w:rFonts w:ascii="Century Gothic" w:hAnsi="Century Gothic" w:cs="Arial"/>
          <w:lang w:val="es-ES"/>
        </w:rPr>
        <w:t xml:space="preserve">de </w:t>
      </w:r>
      <w:r w:rsidR="00332EE8" w:rsidRPr="0000209D">
        <w:rPr>
          <w:rFonts w:ascii="Century Gothic" w:hAnsi="Century Gothic" w:cs="Arial"/>
          <w:lang w:val="es-ES"/>
        </w:rPr>
        <w:t>octubre</w:t>
      </w:r>
      <w:r w:rsidRPr="0000209D">
        <w:rPr>
          <w:rFonts w:ascii="Century Gothic" w:hAnsi="Century Gothic" w:cs="Arial"/>
          <w:lang w:val="es-ES"/>
        </w:rPr>
        <w:t xml:space="preserve"> de 202</w:t>
      </w:r>
      <w:r w:rsidR="00332EE8" w:rsidRPr="0000209D">
        <w:rPr>
          <w:rFonts w:ascii="Century Gothic" w:hAnsi="Century Gothic" w:cs="Arial"/>
          <w:lang w:val="es-ES"/>
        </w:rPr>
        <w:t>1</w:t>
      </w:r>
      <w:r w:rsidRPr="0000209D">
        <w:rPr>
          <w:rFonts w:ascii="Century Gothic" w:hAnsi="Century Gothic" w:cs="Arial"/>
          <w:lang w:val="es-ES"/>
        </w:rPr>
        <w:t>.</w:t>
      </w:r>
    </w:p>
    <w:p w14:paraId="5BBEC7FF" w14:textId="5AF9A6B9" w:rsidR="006A1955" w:rsidRPr="0000209D" w:rsidRDefault="006A1955" w:rsidP="006A1955">
      <w:pPr>
        <w:spacing w:before="100" w:beforeAutospacing="1" w:after="100" w:afterAutospacing="1"/>
        <w:jc w:val="both"/>
        <w:rPr>
          <w:rFonts w:ascii="Century Gothic" w:hAnsi="Century Gothic" w:cs="Arial"/>
          <w:lang w:val="es-ES"/>
        </w:rPr>
      </w:pPr>
      <w:r w:rsidRPr="0000209D">
        <w:rPr>
          <w:rFonts w:ascii="Century Gothic" w:hAnsi="Century Gothic" w:cs="Arial"/>
          <w:lang w:val="es-ES"/>
        </w:rPr>
        <w:t xml:space="preserve">En tal sentido, esta Comisión de </w:t>
      </w:r>
      <w:r w:rsidRPr="0000209D">
        <w:rPr>
          <w:rFonts w:ascii="Century Gothic" w:hAnsi="Century Gothic" w:cs="Arial"/>
          <w:highlight w:val="lightGray"/>
          <w:lang w:val="es-ES"/>
        </w:rPr>
        <w:t>_____________________</w:t>
      </w:r>
      <w:r w:rsidRPr="0000209D">
        <w:rPr>
          <w:rFonts w:ascii="Century Gothic" w:hAnsi="Century Gothic" w:cs="Arial"/>
          <w:b/>
          <w:lang w:val="es-ES"/>
        </w:rPr>
        <w:t xml:space="preserve"> </w:t>
      </w:r>
      <w:r w:rsidRPr="0000209D">
        <w:rPr>
          <w:rFonts w:ascii="Century Gothic" w:hAnsi="Century Gothic" w:cs="Arial"/>
          <w:lang w:val="es-ES"/>
        </w:rPr>
        <w:t xml:space="preserve">somete a consideración de la Comisión de Presupuesto y Cuenta Pública la </w:t>
      </w:r>
      <w:r w:rsidRPr="0000209D">
        <w:rPr>
          <w:rFonts w:ascii="Century Gothic" w:hAnsi="Century Gothic" w:cs="Arial"/>
          <w:b/>
          <w:lang w:val="es-ES"/>
        </w:rPr>
        <w:t>Opinión respecto al Proyecto de Presupuesto de Egresos para el Ejercicio Fiscal 202</w:t>
      </w:r>
      <w:r w:rsidR="00332EE8" w:rsidRPr="0000209D">
        <w:rPr>
          <w:rFonts w:ascii="Century Gothic" w:hAnsi="Century Gothic" w:cs="Arial"/>
          <w:b/>
          <w:lang w:val="es-ES"/>
        </w:rPr>
        <w:t>2</w:t>
      </w:r>
      <w:r w:rsidRPr="0000209D">
        <w:rPr>
          <w:rFonts w:ascii="Century Gothic" w:hAnsi="Century Gothic" w:cs="Arial"/>
          <w:b/>
          <w:lang w:val="es-ES"/>
        </w:rPr>
        <w:t xml:space="preserve"> en el Gasto del Sector de </w:t>
      </w:r>
      <w:r w:rsidRPr="0000209D">
        <w:rPr>
          <w:rFonts w:ascii="Century Gothic" w:hAnsi="Century Gothic" w:cs="Arial"/>
          <w:highlight w:val="lightGray"/>
          <w:lang w:val="es-ES"/>
        </w:rPr>
        <w:t>_____________________</w:t>
      </w:r>
      <w:r w:rsidRPr="0000209D">
        <w:rPr>
          <w:rFonts w:ascii="Century Gothic" w:hAnsi="Century Gothic" w:cs="Arial"/>
          <w:b/>
          <w:lang w:val="es-ES"/>
        </w:rPr>
        <w:t xml:space="preserve">, </w:t>
      </w:r>
      <w:r w:rsidRPr="0000209D">
        <w:rPr>
          <w:rFonts w:ascii="Century Gothic" w:hAnsi="Century Gothic" w:cs="Arial"/>
          <w:lang w:val="es-ES"/>
        </w:rPr>
        <w:t>conforme a los siguientes:</w:t>
      </w:r>
    </w:p>
    <w:p w14:paraId="410B78A0" w14:textId="77777777" w:rsidR="006A1955" w:rsidRPr="0000209D" w:rsidRDefault="006A1955" w:rsidP="006A1955">
      <w:pPr>
        <w:rPr>
          <w:rFonts w:ascii="Century Gothic" w:hAnsi="Century Gothic" w:cs="Arial"/>
          <w:b/>
          <w:lang w:val="es-ES"/>
        </w:rPr>
      </w:pPr>
    </w:p>
    <w:p w14:paraId="701F56AF" w14:textId="77777777" w:rsidR="006A1955" w:rsidRPr="0000209D" w:rsidRDefault="006A1955" w:rsidP="006A1955">
      <w:pPr>
        <w:jc w:val="center"/>
        <w:outlineLvl w:val="0"/>
        <w:rPr>
          <w:rFonts w:ascii="Century Gothic" w:hAnsi="Century Gothic" w:cs="Arial"/>
          <w:b/>
          <w:lang w:val="es-ES"/>
        </w:rPr>
      </w:pPr>
      <w:r w:rsidRPr="0000209D">
        <w:rPr>
          <w:rFonts w:ascii="Century Gothic" w:hAnsi="Century Gothic" w:cs="Arial"/>
          <w:b/>
          <w:lang w:val="es-ES"/>
        </w:rPr>
        <w:t>ANTECEDENTES</w:t>
      </w:r>
    </w:p>
    <w:p w14:paraId="7D4D5921" w14:textId="77777777" w:rsidR="006A1955" w:rsidRPr="0000209D" w:rsidRDefault="006A1955" w:rsidP="006A1955">
      <w:pPr>
        <w:outlineLvl w:val="0"/>
        <w:rPr>
          <w:rFonts w:ascii="Century Gothic" w:hAnsi="Century Gothic" w:cs="Arial"/>
          <w:b/>
          <w:lang w:val="es-ES"/>
        </w:rPr>
      </w:pPr>
    </w:p>
    <w:p w14:paraId="1B613403" w14:textId="17B64972" w:rsidR="006A1955" w:rsidRPr="0000209D" w:rsidRDefault="006A1955" w:rsidP="006A1955">
      <w:pPr>
        <w:jc w:val="both"/>
        <w:rPr>
          <w:rFonts w:ascii="Century Gothic" w:hAnsi="Century Gothic" w:cs="Arial"/>
          <w:lang w:val="es-ES"/>
        </w:rPr>
      </w:pPr>
      <w:r w:rsidRPr="0000209D">
        <w:rPr>
          <w:rFonts w:ascii="Century Gothic" w:hAnsi="Century Gothic" w:cs="Arial"/>
          <w:lang w:val="es-ES"/>
        </w:rPr>
        <w:t>El 8 de septiembre</w:t>
      </w:r>
      <w:r w:rsidRPr="0000209D">
        <w:rPr>
          <w:rFonts w:ascii="Century Gothic" w:hAnsi="Century Gothic" w:cs="Arial"/>
          <w:i/>
          <w:lang w:val="es-ES"/>
        </w:rPr>
        <w:t xml:space="preserve"> </w:t>
      </w:r>
      <w:r w:rsidRPr="0000209D">
        <w:rPr>
          <w:rFonts w:ascii="Century Gothic" w:hAnsi="Century Gothic" w:cs="Arial"/>
          <w:lang w:val="es-ES"/>
        </w:rPr>
        <w:t>de 202</w:t>
      </w:r>
      <w:r w:rsidR="00332EE8" w:rsidRPr="0000209D">
        <w:rPr>
          <w:rFonts w:ascii="Century Gothic" w:hAnsi="Century Gothic" w:cs="Arial"/>
          <w:lang w:val="es-ES"/>
        </w:rPr>
        <w:t>1</w:t>
      </w:r>
      <w:r w:rsidRPr="0000209D">
        <w:rPr>
          <w:rFonts w:ascii="Century Gothic" w:hAnsi="Century Gothic" w:cs="Arial"/>
          <w:lang w:val="es-ES"/>
        </w:rPr>
        <w:t xml:space="preserve"> el Ejecutivo Federal presentó a esta Soberanía la Iniciativa de Decreto por el que se expide la Ley de Ingresos y el Proyecto de Presupuesto de Egresos para el Ejercicio Fiscal 2021, para su estudio, análisis, discusión y dictaminación.</w:t>
      </w:r>
    </w:p>
    <w:p w14:paraId="7B1515A7" w14:textId="77777777" w:rsidR="006A1955" w:rsidRPr="0000209D" w:rsidRDefault="006A1955" w:rsidP="006A1955">
      <w:pPr>
        <w:jc w:val="both"/>
        <w:rPr>
          <w:rFonts w:ascii="Century Gothic" w:hAnsi="Century Gothic" w:cs="Arial"/>
          <w:lang w:val="es-ES"/>
        </w:rPr>
      </w:pPr>
    </w:p>
    <w:p w14:paraId="72EC9B34" w14:textId="6D6AF616" w:rsidR="006A1955" w:rsidRPr="0000209D" w:rsidRDefault="006A1955" w:rsidP="006A1955">
      <w:pPr>
        <w:jc w:val="both"/>
        <w:rPr>
          <w:rFonts w:ascii="Century Gothic" w:hAnsi="Century Gothic" w:cs="Arial"/>
          <w:color w:val="FF0000"/>
          <w:lang w:val="es-ES"/>
        </w:rPr>
      </w:pPr>
      <w:r w:rsidRPr="0000209D">
        <w:rPr>
          <w:rFonts w:ascii="Century Gothic" w:hAnsi="Century Gothic" w:cs="Arial"/>
          <w:lang w:val="es-ES"/>
        </w:rPr>
        <w:t xml:space="preserve">En la Reunión </w:t>
      </w:r>
      <w:r w:rsidRPr="0000209D">
        <w:rPr>
          <w:rFonts w:ascii="Century Gothic" w:hAnsi="Century Gothic" w:cs="Arial"/>
          <w:i/>
          <w:highlight w:val="lightGray"/>
          <w:lang w:val="es-ES"/>
        </w:rPr>
        <w:t>(número de reunión, Ordinaria o Extraordinaria)</w:t>
      </w:r>
      <w:r w:rsidRPr="0000209D">
        <w:rPr>
          <w:rFonts w:ascii="Century Gothic" w:hAnsi="Century Gothic" w:cs="Arial"/>
          <w:lang w:val="es-ES"/>
        </w:rPr>
        <w:t xml:space="preserve"> de la Comisión de </w:t>
      </w:r>
      <w:r w:rsidRPr="0000209D">
        <w:rPr>
          <w:rFonts w:ascii="Century Gothic" w:hAnsi="Century Gothic" w:cs="Arial"/>
          <w:highlight w:val="lightGray"/>
          <w:lang w:val="es-ES"/>
        </w:rPr>
        <w:t>_________________________,</w:t>
      </w:r>
      <w:r w:rsidRPr="0000209D">
        <w:rPr>
          <w:rFonts w:ascii="Century Gothic" w:hAnsi="Century Gothic" w:cs="Arial"/>
          <w:lang w:val="es-ES"/>
        </w:rPr>
        <w:t xml:space="preserve"> celebrada el </w:t>
      </w:r>
      <w:r w:rsidRPr="0000209D">
        <w:rPr>
          <w:rFonts w:ascii="Century Gothic" w:hAnsi="Century Gothic" w:cs="Arial"/>
          <w:i/>
          <w:u w:val="single"/>
          <w:lang w:val="es-ES"/>
        </w:rPr>
        <w:t xml:space="preserve">    </w:t>
      </w:r>
      <w:r w:rsidRPr="0000209D">
        <w:rPr>
          <w:rFonts w:ascii="Century Gothic" w:hAnsi="Century Gothic" w:cs="Arial"/>
          <w:lang w:val="es-ES"/>
        </w:rPr>
        <w:t xml:space="preserve"> de </w:t>
      </w:r>
      <w:r w:rsidRPr="0000209D">
        <w:rPr>
          <w:rFonts w:ascii="Century Gothic" w:hAnsi="Century Gothic" w:cs="Arial"/>
          <w:highlight w:val="lightGray"/>
          <w:lang w:val="es-ES"/>
        </w:rPr>
        <w:t>__</w:t>
      </w:r>
      <w:r w:rsidRPr="0000209D">
        <w:rPr>
          <w:rFonts w:ascii="Century Gothic" w:hAnsi="Century Gothic" w:cs="Arial"/>
          <w:i/>
          <w:highlight w:val="lightGray"/>
          <w:u w:val="single"/>
          <w:lang w:val="es-ES"/>
        </w:rPr>
        <w:t>_ _</w:t>
      </w:r>
      <w:r w:rsidRPr="0000209D">
        <w:rPr>
          <w:rFonts w:ascii="Century Gothic" w:hAnsi="Century Gothic" w:cs="Arial"/>
          <w:lang w:val="es-ES"/>
        </w:rPr>
        <w:t xml:space="preserve"> </w:t>
      </w:r>
      <w:proofErr w:type="spellStart"/>
      <w:r w:rsidRPr="0000209D">
        <w:rPr>
          <w:rFonts w:ascii="Century Gothic" w:hAnsi="Century Gothic" w:cs="Arial"/>
          <w:lang w:val="es-ES"/>
        </w:rPr>
        <w:t>de</w:t>
      </w:r>
      <w:proofErr w:type="spellEnd"/>
      <w:r w:rsidRPr="0000209D">
        <w:rPr>
          <w:rFonts w:ascii="Century Gothic" w:hAnsi="Century Gothic" w:cs="Arial"/>
          <w:lang w:val="es-ES"/>
        </w:rPr>
        <w:t xml:space="preserve"> 202</w:t>
      </w:r>
      <w:r w:rsidR="003066CB" w:rsidRPr="0000209D">
        <w:rPr>
          <w:rFonts w:ascii="Century Gothic" w:hAnsi="Century Gothic" w:cs="Arial"/>
          <w:lang w:val="es-ES"/>
        </w:rPr>
        <w:t>1</w:t>
      </w:r>
      <w:r w:rsidRPr="0000209D">
        <w:rPr>
          <w:rFonts w:ascii="Century Gothic" w:hAnsi="Century Gothic" w:cs="Arial"/>
          <w:lang w:val="es-ES"/>
        </w:rPr>
        <w:t>, se presentó al pleno de la misma, el Proyecto de Presupuesto de Egresos para el Ejercicio Fiscal 202</w:t>
      </w:r>
      <w:r w:rsidR="003066CB" w:rsidRPr="0000209D">
        <w:rPr>
          <w:rFonts w:ascii="Century Gothic" w:hAnsi="Century Gothic" w:cs="Arial"/>
          <w:lang w:val="es-ES"/>
        </w:rPr>
        <w:t>2</w:t>
      </w:r>
      <w:r w:rsidRPr="0000209D">
        <w:rPr>
          <w:rFonts w:ascii="Century Gothic" w:hAnsi="Century Gothic" w:cs="Arial"/>
          <w:lang w:val="es-ES"/>
        </w:rPr>
        <w:t xml:space="preserve"> </w:t>
      </w:r>
      <w:r w:rsidRPr="0000209D">
        <w:rPr>
          <w:rFonts w:ascii="Century Gothic" w:hAnsi="Century Gothic" w:cs="Arial"/>
          <w:i/>
          <w:lang w:val="es-ES"/>
        </w:rPr>
        <w:t>(en caso de que aplique)</w:t>
      </w:r>
      <w:r w:rsidRPr="0000209D">
        <w:rPr>
          <w:rFonts w:ascii="Century Gothic" w:hAnsi="Century Gothic" w:cs="Arial"/>
          <w:lang w:val="es-ES"/>
        </w:rPr>
        <w:t>.</w:t>
      </w:r>
    </w:p>
    <w:p w14:paraId="7A0B1DB0" w14:textId="77777777" w:rsidR="006A1955" w:rsidRPr="0000209D" w:rsidRDefault="006A1955" w:rsidP="006A1955">
      <w:pPr>
        <w:jc w:val="both"/>
        <w:rPr>
          <w:rFonts w:ascii="Century Gothic" w:hAnsi="Century Gothic" w:cs="Arial"/>
          <w:lang w:val="es-ES"/>
        </w:rPr>
      </w:pPr>
    </w:p>
    <w:p w14:paraId="177ED643" w14:textId="77777777" w:rsidR="006A1955" w:rsidRPr="0000209D" w:rsidRDefault="006A1955" w:rsidP="006A1955">
      <w:pPr>
        <w:pStyle w:val="Textoindependiente2"/>
        <w:spacing w:after="0" w:line="240" w:lineRule="auto"/>
        <w:jc w:val="both"/>
        <w:rPr>
          <w:rFonts w:ascii="Century Gothic" w:hAnsi="Century Gothic" w:cs="Arial"/>
          <w:bCs/>
          <w:sz w:val="22"/>
          <w:szCs w:val="22"/>
        </w:rPr>
      </w:pPr>
      <w:r w:rsidRPr="0000209D">
        <w:rPr>
          <w:rFonts w:ascii="Century Gothic" w:hAnsi="Century Gothic" w:cs="Arial"/>
          <w:bCs/>
          <w:sz w:val="22"/>
          <w:szCs w:val="22"/>
        </w:rPr>
        <w:t>Con la finalidad de integrar al análisis y discusión de la presente Opinión, se tomaron en cuenta proposiciones sobre temas presupuestales relacionados con el sector competencia de la Comisión, se llevaron a cabo diversas consultas y reuniones de trabajo con representantes del Ejecutivo Federal y diferentes interesados en la materia:</w:t>
      </w:r>
    </w:p>
    <w:p w14:paraId="77EE7C69" w14:textId="77777777" w:rsidR="006A1955" w:rsidRPr="0000209D" w:rsidRDefault="006A1955" w:rsidP="006A1955">
      <w:pPr>
        <w:pStyle w:val="Textoindependiente2"/>
        <w:spacing w:after="0" w:line="240" w:lineRule="auto"/>
        <w:jc w:val="both"/>
        <w:rPr>
          <w:rFonts w:ascii="Century Gothic" w:hAnsi="Century Gothic" w:cs="Arial"/>
          <w:bCs/>
          <w:i/>
          <w:sz w:val="22"/>
          <w:szCs w:val="22"/>
          <w:highlight w:val="lightGray"/>
        </w:rPr>
      </w:pPr>
      <w:r w:rsidRPr="0000209D">
        <w:rPr>
          <w:rFonts w:ascii="Century Gothic" w:hAnsi="Century Gothic" w:cs="Arial"/>
          <w:bCs/>
          <w:i/>
          <w:sz w:val="22"/>
          <w:szCs w:val="22"/>
          <w:highlight w:val="lightGray"/>
        </w:rPr>
        <w:t>(En caso de que aplique, describir brevemente las reuniones realizadas)</w:t>
      </w:r>
    </w:p>
    <w:p w14:paraId="1327D191" w14:textId="77777777" w:rsidR="006A1955" w:rsidRPr="0000209D" w:rsidRDefault="006A1955" w:rsidP="006A1955">
      <w:pPr>
        <w:pStyle w:val="Textoindependiente2"/>
        <w:numPr>
          <w:ilvl w:val="0"/>
          <w:numId w:val="14"/>
        </w:numPr>
        <w:spacing w:after="0" w:line="240" w:lineRule="auto"/>
        <w:jc w:val="both"/>
        <w:rPr>
          <w:rFonts w:ascii="Century Gothic" w:hAnsi="Century Gothic" w:cs="Arial"/>
          <w:bCs/>
          <w:sz w:val="22"/>
          <w:szCs w:val="22"/>
          <w:highlight w:val="lightGray"/>
        </w:rPr>
      </w:pPr>
      <w:r w:rsidRPr="0000209D">
        <w:rPr>
          <w:rFonts w:ascii="Century Gothic" w:hAnsi="Century Gothic" w:cs="Arial"/>
          <w:bCs/>
          <w:sz w:val="22"/>
          <w:szCs w:val="22"/>
          <w:highlight w:val="lightGray"/>
        </w:rPr>
        <w:t>…</w:t>
      </w:r>
    </w:p>
    <w:p w14:paraId="799F603E" w14:textId="77777777" w:rsidR="006A1955" w:rsidRPr="0000209D" w:rsidRDefault="006A1955" w:rsidP="006A1955">
      <w:pPr>
        <w:pStyle w:val="Textoindependiente2"/>
        <w:numPr>
          <w:ilvl w:val="0"/>
          <w:numId w:val="14"/>
        </w:numPr>
        <w:spacing w:after="0" w:line="240" w:lineRule="auto"/>
        <w:jc w:val="both"/>
        <w:rPr>
          <w:rFonts w:ascii="Century Gothic" w:hAnsi="Century Gothic" w:cs="Arial"/>
          <w:bCs/>
          <w:sz w:val="22"/>
          <w:szCs w:val="22"/>
          <w:highlight w:val="lightGray"/>
        </w:rPr>
      </w:pPr>
      <w:r w:rsidRPr="0000209D">
        <w:rPr>
          <w:rFonts w:ascii="Century Gothic" w:hAnsi="Century Gothic" w:cs="Arial"/>
          <w:bCs/>
          <w:sz w:val="22"/>
          <w:szCs w:val="22"/>
          <w:highlight w:val="lightGray"/>
        </w:rPr>
        <w:t>…</w:t>
      </w:r>
    </w:p>
    <w:p w14:paraId="723C300B" w14:textId="77777777" w:rsidR="006A1955" w:rsidRPr="0000209D" w:rsidRDefault="006A1955" w:rsidP="006A1955">
      <w:pPr>
        <w:pStyle w:val="Textoindependiente2"/>
        <w:numPr>
          <w:ilvl w:val="0"/>
          <w:numId w:val="14"/>
        </w:numPr>
        <w:spacing w:after="0" w:line="240" w:lineRule="auto"/>
        <w:jc w:val="both"/>
        <w:rPr>
          <w:rFonts w:ascii="Century Gothic" w:hAnsi="Century Gothic" w:cs="Arial"/>
          <w:bCs/>
          <w:sz w:val="22"/>
          <w:szCs w:val="22"/>
          <w:highlight w:val="lightGray"/>
        </w:rPr>
      </w:pPr>
      <w:r w:rsidRPr="0000209D">
        <w:rPr>
          <w:rFonts w:ascii="Century Gothic" w:hAnsi="Century Gothic" w:cs="Arial"/>
          <w:bCs/>
          <w:sz w:val="22"/>
          <w:szCs w:val="22"/>
          <w:highlight w:val="lightGray"/>
        </w:rPr>
        <w:t>…</w:t>
      </w:r>
    </w:p>
    <w:p w14:paraId="0A0C0A37" w14:textId="77777777" w:rsidR="006A1955" w:rsidRPr="0000209D" w:rsidRDefault="006A1955" w:rsidP="006A1955">
      <w:pPr>
        <w:pStyle w:val="Textoindependiente2"/>
        <w:numPr>
          <w:ilvl w:val="0"/>
          <w:numId w:val="14"/>
        </w:numPr>
        <w:spacing w:after="0" w:line="240" w:lineRule="auto"/>
        <w:jc w:val="both"/>
        <w:rPr>
          <w:rFonts w:ascii="Century Gothic" w:hAnsi="Century Gothic" w:cs="Arial"/>
          <w:bCs/>
          <w:sz w:val="22"/>
          <w:szCs w:val="22"/>
          <w:highlight w:val="lightGray"/>
        </w:rPr>
      </w:pPr>
      <w:r w:rsidRPr="0000209D">
        <w:rPr>
          <w:rFonts w:ascii="Century Gothic" w:hAnsi="Century Gothic" w:cs="Arial"/>
          <w:bCs/>
          <w:sz w:val="22"/>
          <w:szCs w:val="22"/>
          <w:highlight w:val="lightGray"/>
        </w:rPr>
        <w:t>…</w:t>
      </w:r>
    </w:p>
    <w:p w14:paraId="0AF088F8" w14:textId="77777777" w:rsidR="006A1955" w:rsidRPr="0000209D" w:rsidRDefault="006A1955" w:rsidP="006A1955">
      <w:pPr>
        <w:pStyle w:val="Textoindependiente2"/>
        <w:spacing w:after="0" w:line="240" w:lineRule="auto"/>
        <w:ind w:left="360"/>
        <w:jc w:val="both"/>
        <w:rPr>
          <w:rFonts w:ascii="Century Gothic" w:hAnsi="Century Gothic" w:cs="Arial"/>
          <w:bCs/>
          <w:sz w:val="22"/>
          <w:szCs w:val="22"/>
        </w:rPr>
      </w:pPr>
      <w:r w:rsidRPr="0000209D">
        <w:rPr>
          <w:rFonts w:ascii="Century Gothic" w:hAnsi="Century Gothic" w:cs="Arial"/>
          <w:bCs/>
          <w:sz w:val="22"/>
          <w:szCs w:val="22"/>
          <w:highlight w:val="lightGray"/>
        </w:rPr>
        <w:t>…..</w:t>
      </w:r>
    </w:p>
    <w:p w14:paraId="48C35348" w14:textId="77777777" w:rsidR="006A1955" w:rsidRPr="0000209D" w:rsidRDefault="006A1955" w:rsidP="006A1955">
      <w:pPr>
        <w:jc w:val="both"/>
        <w:rPr>
          <w:rFonts w:ascii="Century Gothic" w:hAnsi="Century Gothic" w:cs="Arial"/>
          <w:bCs/>
          <w:lang w:val="es-ES"/>
        </w:rPr>
      </w:pPr>
    </w:p>
    <w:p w14:paraId="085ECC0C" w14:textId="77777777" w:rsidR="006A1955" w:rsidRPr="0000209D" w:rsidRDefault="006A1955" w:rsidP="00CE3ECC">
      <w:pPr>
        <w:jc w:val="center"/>
        <w:outlineLvl w:val="0"/>
        <w:rPr>
          <w:rFonts w:ascii="Century Gothic" w:hAnsi="Century Gothic" w:cs="Arial"/>
          <w:b/>
          <w:lang w:val="es-ES"/>
        </w:rPr>
      </w:pPr>
      <w:r w:rsidRPr="0000209D">
        <w:rPr>
          <w:rFonts w:ascii="Century Gothic" w:hAnsi="Century Gothic" w:cs="Arial"/>
          <w:b/>
          <w:lang w:val="es-ES"/>
        </w:rPr>
        <w:t>CONSIDERACIONES</w:t>
      </w:r>
    </w:p>
    <w:p w14:paraId="5B3AFC8E" w14:textId="7A576005" w:rsidR="006A1955" w:rsidRPr="0000209D" w:rsidRDefault="006A1955" w:rsidP="006A1955">
      <w:pPr>
        <w:jc w:val="both"/>
        <w:rPr>
          <w:rFonts w:ascii="Century Gothic" w:hAnsi="Century Gothic" w:cs="Arial"/>
          <w:i/>
          <w:lang w:val="es-ES"/>
        </w:rPr>
      </w:pPr>
      <w:r w:rsidRPr="0000209D">
        <w:rPr>
          <w:rFonts w:ascii="Century Gothic" w:hAnsi="Century Gothic" w:cs="Arial"/>
          <w:i/>
          <w:highlight w:val="lightGray"/>
          <w:lang w:val="es-ES"/>
        </w:rPr>
        <w:t>En este apartado, la Comisión Ordinaria que presenta la Opinión deberá realizar un análisis al Proyecto de Presupuesto para el Ejercicio Fiscal 202</w:t>
      </w:r>
      <w:r w:rsidR="003066CB" w:rsidRPr="0000209D">
        <w:rPr>
          <w:rFonts w:ascii="Century Gothic" w:hAnsi="Century Gothic" w:cs="Arial"/>
          <w:i/>
          <w:highlight w:val="lightGray"/>
          <w:lang w:val="es-ES"/>
        </w:rPr>
        <w:t>2</w:t>
      </w:r>
      <w:r w:rsidRPr="0000209D">
        <w:rPr>
          <w:rFonts w:ascii="Century Gothic" w:hAnsi="Century Gothic" w:cs="Arial"/>
          <w:i/>
          <w:highlight w:val="lightGray"/>
          <w:lang w:val="es-ES"/>
        </w:rPr>
        <w:t xml:space="preserve"> referente a su sector.</w:t>
      </w:r>
      <w:r w:rsidRPr="0000209D">
        <w:rPr>
          <w:rFonts w:ascii="Century Gothic" w:hAnsi="Century Gothic" w:cs="Arial"/>
          <w:i/>
          <w:lang w:val="es-ES"/>
        </w:rPr>
        <w:t xml:space="preserve"> </w:t>
      </w:r>
    </w:p>
    <w:p w14:paraId="00F7CD6C" w14:textId="77777777" w:rsidR="006A1955" w:rsidRPr="0000209D" w:rsidRDefault="006A1955" w:rsidP="006A1955">
      <w:pPr>
        <w:jc w:val="both"/>
        <w:rPr>
          <w:rFonts w:ascii="Century Gothic" w:hAnsi="Century Gothic" w:cs="Arial"/>
          <w:lang w:val="es-ES"/>
        </w:rPr>
      </w:pPr>
    </w:p>
    <w:p w14:paraId="681ACFC5" w14:textId="356670A1" w:rsidR="006A1955" w:rsidRPr="0000209D" w:rsidRDefault="00CE3ECC" w:rsidP="00CE3ECC">
      <w:pPr>
        <w:jc w:val="center"/>
        <w:outlineLvl w:val="0"/>
        <w:rPr>
          <w:rFonts w:ascii="Century Gothic" w:hAnsi="Century Gothic" w:cs="Arial"/>
          <w:b/>
          <w:color w:val="FF0000"/>
          <w:lang w:val="es-ES"/>
        </w:rPr>
      </w:pPr>
      <w:r w:rsidRPr="0000209D">
        <w:rPr>
          <w:rFonts w:ascii="Century Gothic" w:hAnsi="Century Gothic" w:cs="Arial"/>
          <w:b/>
          <w:lang w:val="es-ES"/>
        </w:rPr>
        <w:t>RECOMENDACIONES</w:t>
      </w:r>
    </w:p>
    <w:p w14:paraId="67A198C6" w14:textId="77777777" w:rsidR="006A1955" w:rsidRPr="00714006" w:rsidRDefault="006A1955" w:rsidP="006A1955">
      <w:pPr>
        <w:jc w:val="both"/>
        <w:outlineLvl w:val="0"/>
        <w:rPr>
          <w:rFonts w:ascii="Century Gothic" w:hAnsi="Century Gothic" w:cs="Arial"/>
          <w:b/>
          <w:lang w:val="es-ES"/>
        </w:rPr>
      </w:pPr>
    </w:p>
    <w:p w14:paraId="3D6EC676" w14:textId="77777777" w:rsidR="006A1955" w:rsidRPr="00714006" w:rsidRDefault="006A1955" w:rsidP="006A1955">
      <w:pPr>
        <w:numPr>
          <w:ilvl w:val="0"/>
          <w:numId w:val="15"/>
        </w:numPr>
        <w:spacing w:after="0" w:line="240" w:lineRule="auto"/>
        <w:ind w:left="709" w:hanging="425"/>
        <w:jc w:val="both"/>
        <w:outlineLvl w:val="0"/>
        <w:rPr>
          <w:rFonts w:ascii="Century Gothic" w:hAnsi="Century Gothic" w:cs="Arial"/>
          <w:b/>
          <w:lang w:val="es-ES"/>
        </w:rPr>
      </w:pPr>
      <w:r w:rsidRPr="00714006">
        <w:rPr>
          <w:rFonts w:ascii="Century Gothic" w:hAnsi="Century Gothic" w:cs="Arial"/>
          <w:b/>
          <w:lang w:val="es-ES"/>
        </w:rPr>
        <w:t xml:space="preserve">Propuestas de Ampliaciones y/o Reducciones al Presupuesto del Sector. </w:t>
      </w:r>
    </w:p>
    <w:p w14:paraId="5DC0713C" w14:textId="77777777" w:rsidR="006A1955" w:rsidRPr="00714006" w:rsidRDefault="006A1955" w:rsidP="006A1955">
      <w:pPr>
        <w:jc w:val="both"/>
        <w:outlineLvl w:val="0"/>
        <w:rPr>
          <w:rFonts w:ascii="Century Gothic" w:hAnsi="Century Gothic" w:cs="Arial"/>
          <w:b/>
          <w:lang w:val="es-ES"/>
        </w:rPr>
      </w:pPr>
    </w:p>
    <w:p w14:paraId="3AC4F8DE" w14:textId="42D33516" w:rsidR="006A1955" w:rsidRPr="0000209D" w:rsidRDefault="006A1955" w:rsidP="006A1955">
      <w:pPr>
        <w:jc w:val="both"/>
        <w:rPr>
          <w:rFonts w:ascii="Century Gothic" w:hAnsi="Century Gothic" w:cs="Arial"/>
          <w:i/>
          <w:lang w:val="es-ES"/>
        </w:rPr>
      </w:pPr>
      <w:r w:rsidRPr="0000209D">
        <w:rPr>
          <w:rFonts w:ascii="Century Gothic" w:hAnsi="Century Gothic" w:cs="Arial"/>
          <w:i/>
          <w:highlight w:val="lightGray"/>
          <w:lang w:val="es-ES"/>
        </w:rPr>
        <w:t xml:space="preserve">En el caso en que aplique, la Comisión Ordinaria que presenta la Opinión, deberá establecer las ampliaciones y/o reducciones de recursos únicamente del </w:t>
      </w:r>
      <w:r w:rsidRPr="0000209D">
        <w:rPr>
          <w:rFonts w:ascii="Century Gothic" w:hAnsi="Century Gothic" w:cs="Arial"/>
          <w:b/>
          <w:i/>
          <w:highlight w:val="lightGray"/>
          <w:lang w:val="es-ES"/>
        </w:rPr>
        <w:t>sector que sea de su competencia</w:t>
      </w:r>
      <w:r w:rsidRPr="0000209D">
        <w:rPr>
          <w:rFonts w:ascii="Century Gothic" w:hAnsi="Century Gothic" w:cs="Arial"/>
          <w:i/>
          <w:highlight w:val="lightGray"/>
          <w:lang w:val="es-ES"/>
        </w:rPr>
        <w:t>, conforme a lo dispuesto en los artículos 18 y 42, fracción VIII de la LFPRH. (Formato “Propuestas de modificación</w:t>
      </w:r>
      <w:r w:rsidR="00D75C64" w:rsidRPr="0000209D">
        <w:rPr>
          <w:rFonts w:ascii="Century Gothic" w:hAnsi="Century Gothic" w:cs="Arial"/>
          <w:i/>
          <w:highlight w:val="lightGray"/>
          <w:lang w:val="es-ES"/>
        </w:rPr>
        <w:t xml:space="preserve"> a Programas Presupuestarios 202</w:t>
      </w:r>
      <w:r w:rsidR="003066CB" w:rsidRPr="0000209D">
        <w:rPr>
          <w:rFonts w:ascii="Century Gothic" w:hAnsi="Century Gothic" w:cs="Arial"/>
          <w:i/>
          <w:highlight w:val="lightGray"/>
          <w:lang w:val="es-ES"/>
        </w:rPr>
        <w:t>2</w:t>
      </w:r>
      <w:r w:rsidRPr="0000209D">
        <w:rPr>
          <w:rFonts w:ascii="Century Gothic" w:hAnsi="Century Gothic" w:cs="Arial"/>
          <w:i/>
          <w:highlight w:val="lightGray"/>
          <w:lang w:val="es-ES"/>
        </w:rPr>
        <w:t>”)</w:t>
      </w:r>
    </w:p>
    <w:p w14:paraId="6A191655" w14:textId="77777777" w:rsidR="006A1955" w:rsidRPr="0000209D" w:rsidRDefault="006A1955" w:rsidP="006A1955">
      <w:pPr>
        <w:jc w:val="both"/>
        <w:rPr>
          <w:rFonts w:ascii="Century Gothic" w:hAnsi="Century Gothic" w:cs="Arial"/>
          <w:lang w:val="es-ES"/>
        </w:rPr>
      </w:pPr>
    </w:p>
    <w:p w14:paraId="5F7AA187" w14:textId="1B080A26" w:rsidR="006A1955" w:rsidRPr="0000209D" w:rsidRDefault="006A1955" w:rsidP="006A1955">
      <w:pPr>
        <w:numPr>
          <w:ilvl w:val="0"/>
          <w:numId w:val="15"/>
        </w:numPr>
        <w:spacing w:after="0" w:line="240" w:lineRule="auto"/>
        <w:ind w:left="709" w:hanging="425"/>
        <w:jc w:val="both"/>
        <w:outlineLvl w:val="0"/>
        <w:rPr>
          <w:rFonts w:ascii="Century Gothic" w:hAnsi="Century Gothic" w:cs="Arial"/>
          <w:b/>
          <w:lang w:val="es-ES"/>
        </w:rPr>
      </w:pPr>
      <w:r w:rsidRPr="0000209D">
        <w:rPr>
          <w:rFonts w:ascii="Century Gothic" w:hAnsi="Century Gothic" w:cs="Arial"/>
          <w:b/>
          <w:lang w:val="es-ES"/>
        </w:rPr>
        <w:t>Propuestas de modificaciones al Proyecto de Decreto del Presupuesto</w:t>
      </w:r>
      <w:r w:rsidR="00714006">
        <w:rPr>
          <w:rFonts w:ascii="Century Gothic" w:hAnsi="Century Gothic" w:cs="Arial"/>
          <w:b/>
          <w:lang w:val="es-ES"/>
        </w:rPr>
        <w:t xml:space="preserve"> de Egresos</w:t>
      </w:r>
      <w:r w:rsidRPr="0000209D">
        <w:rPr>
          <w:rFonts w:ascii="Century Gothic" w:hAnsi="Century Gothic" w:cs="Arial"/>
          <w:b/>
          <w:lang w:val="es-ES"/>
        </w:rPr>
        <w:t xml:space="preserve"> para el Ejercicio Fiscal 20</w:t>
      </w:r>
      <w:r w:rsidR="003066CB" w:rsidRPr="0000209D">
        <w:rPr>
          <w:rFonts w:ascii="Century Gothic" w:hAnsi="Century Gothic" w:cs="Arial"/>
          <w:b/>
          <w:lang w:val="es-ES"/>
        </w:rPr>
        <w:t>22</w:t>
      </w:r>
      <w:r w:rsidRPr="0000209D">
        <w:rPr>
          <w:rFonts w:ascii="Century Gothic" w:hAnsi="Century Gothic" w:cs="Arial"/>
          <w:b/>
          <w:lang w:val="es-ES"/>
        </w:rPr>
        <w:t>.</w:t>
      </w:r>
    </w:p>
    <w:p w14:paraId="7E93B266" w14:textId="77777777" w:rsidR="006A1955" w:rsidRPr="0000209D" w:rsidRDefault="006A1955" w:rsidP="006A1955">
      <w:pPr>
        <w:jc w:val="both"/>
        <w:rPr>
          <w:rFonts w:ascii="Century Gothic" w:hAnsi="Century Gothic" w:cs="Arial"/>
          <w:lang w:val="es-ES"/>
        </w:rPr>
      </w:pPr>
    </w:p>
    <w:p w14:paraId="032FE4A6" w14:textId="73413409" w:rsidR="006A1955" w:rsidRPr="0000209D" w:rsidRDefault="006A1955" w:rsidP="006A1955">
      <w:pPr>
        <w:jc w:val="both"/>
        <w:rPr>
          <w:rFonts w:ascii="Century Gothic" w:hAnsi="Century Gothic" w:cs="Arial"/>
          <w:i/>
          <w:lang w:val="es-ES"/>
        </w:rPr>
      </w:pPr>
      <w:r w:rsidRPr="0000209D">
        <w:rPr>
          <w:rFonts w:ascii="Century Gothic" w:hAnsi="Century Gothic" w:cs="Arial"/>
          <w:i/>
          <w:highlight w:val="lightGray"/>
          <w:lang w:val="es-ES"/>
        </w:rPr>
        <w:t>En el caso en que aplique, la Comisión Ordinaria que presenta la Opinión, establecerá propuestas de modificaciones al Proyecto de Decreto del Presupuesto de Egresos para el Ejercicio Fiscal 202</w:t>
      </w:r>
      <w:r w:rsidR="003066CB" w:rsidRPr="0000209D">
        <w:rPr>
          <w:rFonts w:ascii="Century Gothic" w:hAnsi="Century Gothic" w:cs="Arial"/>
          <w:i/>
          <w:highlight w:val="lightGray"/>
          <w:lang w:val="es-ES"/>
        </w:rPr>
        <w:t>2</w:t>
      </w:r>
      <w:r w:rsidRPr="0000209D">
        <w:rPr>
          <w:rFonts w:ascii="Century Gothic" w:hAnsi="Century Gothic" w:cs="Arial"/>
          <w:i/>
          <w:highlight w:val="lightGray"/>
          <w:lang w:val="es-ES"/>
        </w:rPr>
        <w:t xml:space="preserve"> únicamente sobre aquellos puntos referentes al sector que sea de su competencia. (Formato “Modificaciones a la redacción del Decreto de Presupuesto de Egresos 202</w:t>
      </w:r>
      <w:r w:rsidR="003066CB" w:rsidRPr="0000209D">
        <w:rPr>
          <w:rFonts w:ascii="Century Gothic" w:hAnsi="Century Gothic" w:cs="Arial"/>
          <w:i/>
          <w:highlight w:val="lightGray"/>
          <w:lang w:val="es-ES"/>
        </w:rPr>
        <w:t>2</w:t>
      </w:r>
      <w:r w:rsidRPr="0000209D">
        <w:rPr>
          <w:rFonts w:ascii="Century Gothic" w:hAnsi="Century Gothic" w:cs="Arial"/>
          <w:i/>
          <w:highlight w:val="lightGray"/>
          <w:lang w:val="es-ES"/>
        </w:rPr>
        <w:t>)</w:t>
      </w:r>
    </w:p>
    <w:p w14:paraId="5F6375DE" w14:textId="77777777" w:rsidR="006A1955" w:rsidRPr="0000209D" w:rsidRDefault="006A1955" w:rsidP="006A1955">
      <w:pPr>
        <w:jc w:val="both"/>
        <w:rPr>
          <w:rFonts w:ascii="Century Gothic" w:hAnsi="Century Gothic" w:cs="Arial"/>
          <w:color w:val="FF0000"/>
          <w:lang w:val="es-ES"/>
        </w:rPr>
      </w:pPr>
    </w:p>
    <w:p w14:paraId="706D8B5A" w14:textId="451BC696" w:rsidR="006A1955" w:rsidRPr="0000209D" w:rsidRDefault="0000209D" w:rsidP="006A1955">
      <w:pPr>
        <w:pStyle w:val="Prrafodelista"/>
        <w:numPr>
          <w:ilvl w:val="0"/>
          <w:numId w:val="15"/>
        </w:numPr>
        <w:spacing w:after="0" w:line="240" w:lineRule="auto"/>
        <w:ind w:left="709" w:hanging="425"/>
        <w:jc w:val="both"/>
        <w:outlineLvl w:val="0"/>
        <w:rPr>
          <w:rFonts w:ascii="Century Gothic" w:hAnsi="Century Gothic" w:cs="Arial"/>
          <w:b/>
          <w:lang w:val="es-ES"/>
        </w:rPr>
      </w:pPr>
      <w:r w:rsidRPr="0000209D">
        <w:rPr>
          <w:rFonts w:ascii="Century Gothic" w:hAnsi="Century Gothic" w:cs="Arial"/>
          <w:b/>
          <w:lang w:val="es-ES"/>
        </w:rPr>
        <w:t>Criterios de Sostenibilidad en</w:t>
      </w:r>
      <w:r w:rsidR="00714006">
        <w:rPr>
          <w:rFonts w:ascii="Century Gothic" w:hAnsi="Century Gothic" w:cs="Arial"/>
          <w:b/>
          <w:lang w:val="es-ES"/>
        </w:rPr>
        <w:t xml:space="preserve"> el</w:t>
      </w:r>
      <w:r w:rsidRPr="0000209D">
        <w:rPr>
          <w:rFonts w:ascii="Century Gothic" w:hAnsi="Century Gothic" w:cs="Arial"/>
          <w:b/>
          <w:lang w:val="es-ES"/>
        </w:rPr>
        <w:t xml:space="preserve"> </w:t>
      </w:r>
      <w:r w:rsidR="006A1955" w:rsidRPr="0000209D">
        <w:rPr>
          <w:rFonts w:ascii="Century Gothic" w:hAnsi="Century Gothic" w:cs="Arial"/>
          <w:b/>
          <w:lang w:val="es-ES"/>
        </w:rPr>
        <w:t xml:space="preserve">Proyecto de Decreto del Presupuesto </w:t>
      </w:r>
      <w:r w:rsidR="00714006">
        <w:rPr>
          <w:rFonts w:ascii="Century Gothic" w:hAnsi="Century Gothic" w:cs="Arial"/>
          <w:b/>
          <w:lang w:val="es-ES"/>
        </w:rPr>
        <w:t xml:space="preserve">de Egresos </w:t>
      </w:r>
      <w:r w:rsidR="006A1955" w:rsidRPr="0000209D">
        <w:rPr>
          <w:rFonts w:ascii="Century Gothic" w:hAnsi="Century Gothic" w:cs="Arial"/>
          <w:b/>
          <w:lang w:val="es-ES"/>
        </w:rPr>
        <w:t>para el Ejercicio Fiscal 20</w:t>
      </w:r>
      <w:r w:rsidR="003066CB" w:rsidRPr="0000209D">
        <w:rPr>
          <w:rFonts w:ascii="Century Gothic" w:hAnsi="Century Gothic" w:cs="Arial"/>
          <w:b/>
          <w:lang w:val="es-ES"/>
        </w:rPr>
        <w:t>22</w:t>
      </w:r>
      <w:r w:rsidR="006A1955" w:rsidRPr="0000209D">
        <w:rPr>
          <w:rFonts w:ascii="Century Gothic" w:hAnsi="Century Gothic" w:cs="Arial"/>
          <w:b/>
          <w:lang w:val="es-ES"/>
        </w:rPr>
        <w:t>.</w:t>
      </w:r>
    </w:p>
    <w:p w14:paraId="3587E0ED" w14:textId="35FBA7A1" w:rsidR="006A1955" w:rsidRPr="0000209D" w:rsidRDefault="006A1955" w:rsidP="006A1955">
      <w:pPr>
        <w:jc w:val="both"/>
        <w:rPr>
          <w:rFonts w:ascii="Century Gothic" w:hAnsi="Century Gothic" w:cs="Arial"/>
          <w:color w:val="FF0000"/>
          <w:lang w:val="es-ES"/>
        </w:rPr>
      </w:pPr>
    </w:p>
    <w:p w14:paraId="1324EC24" w14:textId="3F1CC275" w:rsidR="00CE3ECC" w:rsidRPr="0000209D" w:rsidRDefault="009E4071" w:rsidP="0000209D">
      <w:pPr>
        <w:jc w:val="both"/>
        <w:rPr>
          <w:rFonts w:ascii="Century Gothic" w:hAnsi="Century Gothic" w:cs="Arial"/>
          <w:i/>
          <w:lang w:val="es-ES"/>
        </w:rPr>
      </w:pPr>
      <w:r>
        <w:rPr>
          <w:rFonts w:ascii="Century Gothic" w:hAnsi="Century Gothic" w:cs="Arial"/>
          <w:i/>
          <w:highlight w:val="lightGray"/>
          <w:lang w:val="es-ES"/>
        </w:rPr>
        <w:t>L</w:t>
      </w:r>
      <w:r w:rsidR="00CE3ECC" w:rsidRPr="0000209D">
        <w:rPr>
          <w:rFonts w:ascii="Century Gothic" w:hAnsi="Century Gothic" w:cs="Arial"/>
          <w:i/>
          <w:highlight w:val="lightGray"/>
          <w:lang w:val="es-ES"/>
        </w:rPr>
        <w:t>a Comisión Ordinaria que presenta la Opinión</w:t>
      </w:r>
      <w:r w:rsidR="0000209D" w:rsidRPr="0000209D">
        <w:rPr>
          <w:rFonts w:ascii="Century Gothic" w:hAnsi="Century Gothic" w:cs="Arial"/>
          <w:i/>
          <w:highlight w:val="lightGray"/>
          <w:lang w:val="es-ES"/>
        </w:rPr>
        <w:t xml:space="preserve"> mencionará el cumpli</w:t>
      </w:r>
      <w:r>
        <w:rPr>
          <w:rFonts w:ascii="Century Gothic" w:hAnsi="Century Gothic" w:cs="Arial"/>
          <w:i/>
          <w:highlight w:val="lightGray"/>
          <w:lang w:val="es-ES"/>
        </w:rPr>
        <w:t>mi</w:t>
      </w:r>
      <w:r w:rsidR="0000209D" w:rsidRPr="0000209D">
        <w:rPr>
          <w:rFonts w:ascii="Century Gothic" w:hAnsi="Century Gothic" w:cs="Arial"/>
          <w:i/>
          <w:highlight w:val="lightGray"/>
          <w:lang w:val="es-ES"/>
        </w:rPr>
        <w:t xml:space="preserve">ento de los </w:t>
      </w:r>
      <w:r w:rsidR="00CE3ECC" w:rsidRPr="0000209D">
        <w:rPr>
          <w:rFonts w:ascii="Century Gothic" w:hAnsi="Century Gothic" w:cs="Arial"/>
          <w:i/>
          <w:highlight w:val="lightGray"/>
          <w:lang w:val="es-ES"/>
        </w:rPr>
        <w:t>criterios de sostenibilidad</w:t>
      </w:r>
      <w:r w:rsidR="0000209D" w:rsidRPr="0000209D">
        <w:rPr>
          <w:rFonts w:ascii="Century Gothic" w:hAnsi="Century Gothic" w:cs="Arial"/>
          <w:i/>
          <w:highlight w:val="lightGray"/>
          <w:lang w:val="es-ES"/>
        </w:rPr>
        <w:t xml:space="preserve"> en</w:t>
      </w:r>
      <w:r w:rsidR="00CE3ECC" w:rsidRPr="0000209D">
        <w:rPr>
          <w:rFonts w:ascii="Century Gothic" w:hAnsi="Century Gothic" w:cs="Arial"/>
          <w:i/>
          <w:highlight w:val="lightGray"/>
          <w:lang w:val="es-ES"/>
        </w:rPr>
        <w:t xml:space="preserve"> Proyecto de Decreto de Presupuesto de Egresos 202</w:t>
      </w:r>
      <w:r w:rsidR="003066CB" w:rsidRPr="0000209D">
        <w:rPr>
          <w:rFonts w:ascii="Century Gothic" w:hAnsi="Century Gothic" w:cs="Arial"/>
          <w:i/>
          <w:highlight w:val="lightGray"/>
          <w:lang w:val="es-ES"/>
        </w:rPr>
        <w:t>2</w:t>
      </w:r>
      <w:r w:rsidR="00CE3ECC" w:rsidRPr="0000209D">
        <w:rPr>
          <w:rFonts w:ascii="Century Gothic" w:hAnsi="Century Gothic" w:cs="Arial"/>
          <w:i/>
          <w:highlight w:val="lightGray"/>
          <w:lang w:val="es-ES"/>
        </w:rPr>
        <w:t xml:space="preserve">, únicamente sobre aquellos puntos referentes al sector que sea de su competencia a fin de cumplir con la Agenda 2030 para el Desarrollo Sostenible (Formato “Cumplimiento de Criterios de Sostenibilidad”) </w:t>
      </w:r>
    </w:p>
    <w:p w14:paraId="125AAED9" w14:textId="77777777" w:rsidR="00CE3ECC" w:rsidRPr="0000209D" w:rsidRDefault="00CE3ECC" w:rsidP="006A1955">
      <w:pPr>
        <w:jc w:val="both"/>
        <w:rPr>
          <w:rFonts w:ascii="Century Gothic" w:hAnsi="Century Gothic" w:cs="Arial"/>
          <w:color w:val="FF0000"/>
          <w:lang w:val="es-ES"/>
        </w:rPr>
      </w:pPr>
    </w:p>
    <w:p w14:paraId="502877FD" w14:textId="17661519" w:rsidR="006A1955" w:rsidRPr="0000209D" w:rsidRDefault="006A1955" w:rsidP="006A1955">
      <w:pPr>
        <w:spacing w:before="100" w:beforeAutospacing="1" w:after="100" w:afterAutospacing="1"/>
        <w:jc w:val="both"/>
        <w:rPr>
          <w:rFonts w:ascii="Century Gothic" w:hAnsi="Century Gothic" w:cs="Arial"/>
          <w:bCs/>
          <w:lang w:val="es-ES"/>
        </w:rPr>
      </w:pPr>
      <w:r w:rsidRPr="0000209D">
        <w:rPr>
          <w:rFonts w:ascii="Century Gothic" w:hAnsi="Century Gothic" w:cs="Arial"/>
          <w:bCs/>
          <w:lang w:val="es-ES"/>
        </w:rPr>
        <w:t xml:space="preserve">Así se acordó y votó en sesión plenaria de la Comisión de </w:t>
      </w:r>
      <w:r w:rsidRPr="0000209D">
        <w:rPr>
          <w:rFonts w:ascii="Century Gothic" w:hAnsi="Century Gothic" w:cs="Arial"/>
          <w:highlight w:val="lightGray"/>
          <w:u w:val="single"/>
          <w:lang w:val="es-ES"/>
        </w:rPr>
        <w:t>________________</w:t>
      </w:r>
      <w:r w:rsidRPr="0000209D">
        <w:rPr>
          <w:rFonts w:ascii="Century Gothic" w:hAnsi="Century Gothic" w:cs="Arial"/>
          <w:bCs/>
          <w:lang w:val="es-ES"/>
        </w:rPr>
        <w:t xml:space="preserve"> en el Pala</w:t>
      </w:r>
      <w:r w:rsidR="00CE3ECC" w:rsidRPr="0000209D">
        <w:rPr>
          <w:rFonts w:ascii="Century Gothic" w:hAnsi="Century Gothic" w:cs="Arial"/>
          <w:bCs/>
          <w:lang w:val="es-ES"/>
        </w:rPr>
        <w:t>cio Legislativo de San Lázaro, el</w:t>
      </w:r>
      <w:r w:rsidRPr="0000209D">
        <w:rPr>
          <w:rFonts w:ascii="Century Gothic" w:hAnsi="Century Gothic" w:cs="Arial"/>
          <w:bCs/>
          <w:lang w:val="es-ES"/>
        </w:rPr>
        <w:t xml:space="preserve"> </w:t>
      </w:r>
      <w:r w:rsidRPr="0000209D">
        <w:rPr>
          <w:rFonts w:ascii="Century Gothic" w:hAnsi="Century Gothic" w:cs="Arial"/>
          <w:bCs/>
          <w:i/>
          <w:highlight w:val="lightGray"/>
          <w:lang w:val="es-ES"/>
        </w:rPr>
        <w:t>__</w:t>
      </w:r>
      <w:r w:rsidR="00CE3ECC" w:rsidRPr="0000209D">
        <w:rPr>
          <w:rFonts w:ascii="Century Gothic" w:hAnsi="Century Gothic" w:cs="Arial"/>
          <w:bCs/>
          <w:i/>
          <w:highlight w:val="lightGray"/>
          <w:lang w:val="es-ES"/>
        </w:rPr>
        <w:t>_</w:t>
      </w:r>
      <w:r w:rsidRPr="0000209D">
        <w:rPr>
          <w:rFonts w:ascii="Century Gothic" w:hAnsi="Century Gothic" w:cs="Arial"/>
          <w:bCs/>
          <w:i/>
          <w:highlight w:val="lightGray"/>
          <w:lang w:val="es-ES"/>
        </w:rPr>
        <w:t>_</w:t>
      </w:r>
      <w:r w:rsidRPr="0000209D">
        <w:rPr>
          <w:rFonts w:ascii="Century Gothic" w:hAnsi="Century Gothic" w:cs="Arial"/>
          <w:bCs/>
          <w:lang w:val="es-ES"/>
        </w:rPr>
        <w:t xml:space="preserve">de </w:t>
      </w:r>
      <w:r w:rsidR="00CE3ECC" w:rsidRPr="0000209D">
        <w:rPr>
          <w:rFonts w:ascii="Century Gothic" w:hAnsi="Century Gothic" w:cs="Arial"/>
          <w:bCs/>
          <w:i/>
          <w:highlight w:val="lightGray"/>
          <w:u w:val="single"/>
          <w:lang w:val="es-ES"/>
        </w:rPr>
        <w:t>____</w:t>
      </w:r>
      <w:r w:rsidRPr="0000209D">
        <w:rPr>
          <w:rFonts w:ascii="Century Gothic" w:hAnsi="Century Gothic" w:cs="Arial"/>
          <w:bCs/>
          <w:lang w:val="es-ES"/>
        </w:rPr>
        <w:t xml:space="preserve"> </w:t>
      </w:r>
      <w:proofErr w:type="spellStart"/>
      <w:r w:rsidRPr="0000209D">
        <w:rPr>
          <w:rFonts w:ascii="Century Gothic" w:hAnsi="Century Gothic" w:cs="Arial"/>
          <w:bCs/>
          <w:lang w:val="es-ES"/>
        </w:rPr>
        <w:t>de</w:t>
      </w:r>
      <w:proofErr w:type="spellEnd"/>
      <w:r w:rsidRPr="0000209D">
        <w:rPr>
          <w:rFonts w:ascii="Century Gothic" w:hAnsi="Century Gothic" w:cs="Arial"/>
          <w:bCs/>
          <w:lang w:val="es-ES"/>
        </w:rPr>
        <w:t xml:space="preserve"> 20</w:t>
      </w:r>
      <w:r w:rsidR="00CE3ECC" w:rsidRPr="0000209D">
        <w:rPr>
          <w:rFonts w:ascii="Century Gothic" w:hAnsi="Century Gothic" w:cs="Arial"/>
          <w:bCs/>
          <w:lang w:val="es-ES"/>
        </w:rPr>
        <w:t>2</w:t>
      </w:r>
      <w:r w:rsidR="003066CB" w:rsidRPr="0000209D">
        <w:rPr>
          <w:rFonts w:ascii="Century Gothic" w:hAnsi="Century Gothic" w:cs="Arial"/>
          <w:bCs/>
          <w:lang w:val="es-ES"/>
        </w:rPr>
        <w:t>1</w:t>
      </w:r>
      <w:r w:rsidRPr="0000209D">
        <w:rPr>
          <w:rFonts w:ascii="Century Gothic" w:hAnsi="Century Gothic" w:cs="Arial"/>
          <w:bCs/>
          <w:lang w:val="es-ES"/>
        </w:rPr>
        <w:t xml:space="preserve">. </w:t>
      </w:r>
    </w:p>
    <w:p w14:paraId="5CA295A0" w14:textId="77777777" w:rsidR="00CE3ECC" w:rsidRPr="0000209D" w:rsidRDefault="00CE3ECC" w:rsidP="006A1955">
      <w:pPr>
        <w:spacing w:before="100" w:beforeAutospacing="1" w:after="100" w:afterAutospacing="1"/>
        <w:jc w:val="both"/>
        <w:rPr>
          <w:rFonts w:ascii="Century Gothic" w:hAnsi="Century Gothic" w:cs="Arial"/>
          <w:bCs/>
          <w:lang w:val="es-ES"/>
        </w:rPr>
      </w:pPr>
    </w:p>
    <w:p w14:paraId="3B8FF2D6" w14:textId="2D24AB4A" w:rsidR="006A1955" w:rsidRPr="0000209D" w:rsidRDefault="006A1955" w:rsidP="006A1955">
      <w:pPr>
        <w:jc w:val="both"/>
        <w:rPr>
          <w:rFonts w:ascii="Century Gothic" w:hAnsi="Century Gothic"/>
          <w:lang w:val="es-ES"/>
        </w:rPr>
      </w:pPr>
      <w:r w:rsidRPr="0000209D">
        <w:rPr>
          <w:rFonts w:ascii="Century Gothic" w:hAnsi="Century Gothic" w:cs="Arial"/>
          <w:b/>
          <w:i/>
          <w:highlight w:val="lightGray"/>
          <w:lang w:val="es-ES"/>
        </w:rPr>
        <w:t>Se deberá agregar a la presente Opinión</w:t>
      </w:r>
      <w:r w:rsidR="00CE3ECC" w:rsidRPr="0000209D">
        <w:rPr>
          <w:rFonts w:ascii="Century Gothic" w:hAnsi="Century Gothic" w:cs="Arial"/>
          <w:b/>
          <w:i/>
          <w:highlight w:val="lightGray"/>
          <w:lang w:val="es-ES"/>
        </w:rPr>
        <w:t xml:space="preserve"> la correspondiente</w:t>
      </w:r>
      <w:r w:rsidRPr="0000209D">
        <w:rPr>
          <w:rFonts w:ascii="Century Gothic" w:hAnsi="Century Gothic" w:cs="Arial"/>
          <w:b/>
          <w:i/>
          <w:highlight w:val="lightGray"/>
          <w:lang w:val="es-ES"/>
        </w:rPr>
        <w:t xml:space="preserve"> hoja de la mayoría de los integrantes de la Comisión Ordinaria que </w:t>
      </w:r>
      <w:r w:rsidR="00CE3ECC" w:rsidRPr="0000209D">
        <w:rPr>
          <w:rFonts w:ascii="Century Gothic" w:hAnsi="Century Gothic" w:cs="Arial"/>
          <w:b/>
          <w:i/>
          <w:highlight w:val="lightGray"/>
          <w:lang w:val="es-ES"/>
        </w:rPr>
        <w:t>la sustente</w:t>
      </w:r>
      <w:r w:rsidRPr="0000209D">
        <w:rPr>
          <w:rFonts w:ascii="Century Gothic" w:hAnsi="Century Gothic" w:cs="Arial"/>
          <w:b/>
          <w:i/>
          <w:highlight w:val="lightGray"/>
          <w:lang w:val="es-ES"/>
        </w:rPr>
        <w:t>.</w:t>
      </w:r>
      <w:r w:rsidRPr="0000209D">
        <w:rPr>
          <w:rFonts w:ascii="Century Gothic" w:hAnsi="Century Gothic" w:cs="Arial"/>
          <w:b/>
          <w:i/>
          <w:lang w:val="es-ES"/>
        </w:rPr>
        <w:t xml:space="preserve"> </w:t>
      </w:r>
    </w:p>
    <w:p w14:paraId="3CBEF934" w14:textId="0718C275" w:rsidR="00762A85" w:rsidRPr="0000209D" w:rsidRDefault="00762A85" w:rsidP="006A1955">
      <w:pPr>
        <w:rPr>
          <w:rFonts w:ascii="Century Gothic" w:hAnsi="Century Gothic"/>
          <w:lang w:val="es-ES"/>
        </w:rPr>
      </w:pPr>
    </w:p>
    <w:sectPr w:rsidR="00762A85" w:rsidRPr="0000209D" w:rsidSect="00332EE8">
      <w:headerReference w:type="default" r:id="rId8"/>
      <w:footerReference w:type="default" r:id="rId9"/>
      <w:type w:val="continuous"/>
      <w:pgSz w:w="12240" w:h="15840"/>
      <w:pgMar w:top="1922" w:right="1701" w:bottom="1134" w:left="1418" w:header="283"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A0E5" w14:textId="77777777" w:rsidR="003F0A46" w:rsidRDefault="003F0A46" w:rsidP="00673356">
      <w:pPr>
        <w:spacing w:after="0" w:line="240" w:lineRule="auto"/>
      </w:pPr>
      <w:r>
        <w:separator/>
      </w:r>
    </w:p>
  </w:endnote>
  <w:endnote w:type="continuationSeparator" w:id="0">
    <w:p w14:paraId="589E4EF5" w14:textId="77777777" w:rsidR="003F0A46" w:rsidRDefault="003F0A46" w:rsidP="0067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DB77" w14:textId="77777777" w:rsidR="00A81D9C" w:rsidRDefault="00A81D9C" w:rsidP="00A81D9C">
    <w:pPr>
      <w:pStyle w:val="Piedepgina"/>
      <w:tabs>
        <w:tab w:val="clear" w:pos="8838"/>
        <w:tab w:val="right" w:pos="8789"/>
      </w:tabs>
      <w:ind w:right="2268"/>
      <w:rPr>
        <w:rFonts w:ascii="Tahoma" w:hAnsi="Tahoma"/>
        <w:sz w:val="20"/>
      </w:rPr>
    </w:pPr>
    <w:r>
      <w:rPr>
        <w:rFonts w:ascii="Tahoma" w:hAnsi="Tahoma"/>
        <w:noProof/>
        <w:sz w:val="20"/>
      </w:rPr>
      <mc:AlternateContent>
        <mc:Choice Requires="wps">
          <w:drawing>
            <wp:anchor distT="0" distB="0" distL="114300" distR="114300" simplePos="0" relativeHeight="251661312" behindDoc="0" locked="0" layoutInCell="1" allowOverlap="1" wp14:anchorId="76784119" wp14:editId="7E665C5B">
              <wp:simplePos x="0" y="0"/>
              <wp:positionH relativeFrom="column">
                <wp:posOffset>14904</wp:posOffset>
              </wp:positionH>
              <wp:positionV relativeFrom="paragraph">
                <wp:posOffset>76424</wp:posOffset>
              </wp:positionV>
              <wp:extent cx="4724400" cy="0"/>
              <wp:effectExtent l="0" t="12700" r="12700" b="12700"/>
              <wp:wrapNone/>
              <wp:docPr id="1" name="Conector recto 1"/>
              <wp:cNvGraphicFramePr/>
              <a:graphic xmlns:a="http://schemas.openxmlformats.org/drawingml/2006/main">
                <a:graphicData uri="http://schemas.microsoft.com/office/word/2010/wordprocessingShape">
                  <wps:wsp>
                    <wps:cNvCnPr/>
                    <wps:spPr>
                      <a:xfrm>
                        <a:off x="0" y="0"/>
                        <a:ext cx="4724400" cy="0"/>
                      </a:xfrm>
                      <a:prstGeom prst="line">
                        <a:avLst/>
                      </a:prstGeom>
                      <a:ln w="22225">
                        <a:solidFill>
                          <a:srgbClr val="0063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D2AE4E" id="Conector recto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6pt" to="37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" strokecolor="#00633b" strokeweight="1.75pt"/>
          </w:pict>
        </mc:Fallback>
      </mc:AlternateContent>
    </w:r>
  </w:p>
  <w:p w14:paraId="178D8739" w14:textId="45C04119" w:rsidR="003B49DC" w:rsidRPr="00A81D9C" w:rsidRDefault="00A81D9C" w:rsidP="00A81D9C">
    <w:pPr>
      <w:pStyle w:val="Piedepgina"/>
      <w:tabs>
        <w:tab w:val="clear" w:pos="8838"/>
        <w:tab w:val="right" w:pos="8789"/>
      </w:tabs>
      <w:ind w:right="2126"/>
      <w:rPr>
        <w:rFonts w:ascii="Century Gothic" w:hAnsi="Century Gothic"/>
      </w:rPr>
    </w:pPr>
    <w:r w:rsidRPr="00F8540F">
      <w:rPr>
        <w:rFonts w:ascii="Century Gothic" w:hAnsi="Century Gothic"/>
        <w:sz w:val="20"/>
      </w:rPr>
      <w:t>Av. Congreso de la Unión 66, col. El Parque, Venustiano Carranza, C.P. 15960, Ciudad de México Edificio D Planta Baja. Ext. 57198 - 58090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AE73" w14:textId="77777777" w:rsidR="003F0A46" w:rsidRDefault="003F0A46" w:rsidP="00673356">
      <w:pPr>
        <w:spacing w:after="0" w:line="240" w:lineRule="auto"/>
      </w:pPr>
      <w:r>
        <w:separator/>
      </w:r>
    </w:p>
  </w:footnote>
  <w:footnote w:type="continuationSeparator" w:id="0">
    <w:p w14:paraId="2555184F" w14:textId="77777777" w:rsidR="003F0A46" w:rsidRDefault="003F0A46" w:rsidP="00673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86F8" w14:textId="77777777" w:rsidR="00332EE8" w:rsidRDefault="00332EE8" w:rsidP="00332EE8">
    <w:pPr>
      <w:tabs>
        <w:tab w:val="center" w:pos="4419"/>
      </w:tabs>
      <w:spacing w:after="0" w:line="240" w:lineRule="auto"/>
      <w:ind w:left="-425" w:right="-142"/>
      <w:jc w:val="right"/>
      <w:rPr>
        <w:rFonts w:ascii="Century Gothic" w:eastAsia="Calibri" w:hAnsi="Century Gothic" w:cs="Calibri"/>
        <w:b/>
        <w:iCs/>
        <w:smallCaps/>
        <w:sz w:val="28"/>
        <w:szCs w:val="28"/>
      </w:rPr>
    </w:pPr>
  </w:p>
  <w:p w14:paraId="74C044E2" w14:textId="0F47F74D" w:rsidR="00332EE8" w:rsidRDefault="00332EE8" w:rsidP="00332EE8">
    <w:pPr>
      <w:tabs>
        <w:tab w:val="center" w:pos="4419"/>
      </w:tabs>
      <w:spacing w:after="0" w:line="240" w:lineRule="auto"/>
      <w:ind w:left="-425" w:right="-142"/>
      <w:jc w:val="right"/>
      <w:rPr>
        <w:rFonts w:ascii="Century Gothic" w:eastAsia="Calibri" w:hAnsi="Century Gothic" w:cs="Calibri"/>
        <w:b/>
        <w:iCs/>
        <w:smallCaps/>
        <w:sz w:val="28"/>
        <w:szCs w:val="28"/>
      </w:rPr>
    </w:pPr>
    <w:r w:rsidRPr="00FA3083">
      <w:rPr>
        <w:rFonts w:ascii="Century Gothic" w:hAnsi="Century Gothic"/>
        <w:iCs/>
        <w:noProof/>
        <w:sz w:val="21"/>
        <w:szCs w:val="21"/>
        <w:lang w:eastAsia="es-MX"/>
      </w:rPr>
      <w:drawing>
        <wp:anchor distT="0" distB="0" distL="114300" distR="114300" simplePos="0" relativeHeight="251659264" behindDoc="0" locked="0" layoutInCell="1" allowOverlap="1" wp14:anchorId="4A591F5B" wp14:editId="5814B508">
          <wp:simplePos x="0" y="0"/>
          <wp:positionH relativeFrom="margin">
            <wp:posOffset>-161365</wp:posOffset>
          </wp:positionH>
          <wp:positionV relativeFrom="page">
            <wp:posOffset>314494</wp:posOffset>
          </wp:positionV>
          <wp:extent cx="2043430" cy="657225"/>
          <wp:effectExtent l="0" t="0" r="1270" b="3175"/>
          <wp:wrapSquare wrapText="bothSides"/>
          <wp:docPr id="27" name="Imagen 27" descr="C:\Users\Mariana\Downloads\Logo LXV Legislatura.png"/>
          <wp:cNvGraphicFramePr/>
          <a:graphic xmlns:a="http://schemas.openxmlformats.org/drawingml/2006/main">
            <a:graphicData uri="http://schemas.openxmlformats.org/drawingml/2006/picture">
              <pic:pic xmlns:pic="http://schemas.openxmlformats.org/drawingml/2006/picture">
                <pic:nvPicPr>
                  <pic:cNvPr id="57" name="Imagen 57" descr="C:\Users\Mariana\Downloads\Logo LXV Legislatur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343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3083">
      <w:rPr>
        <w:rFonts w:ascii="Century Gothic" w:eastAsia="Calibri" w:hAnsi="Century Gothic" w:cs="Calibri"/>
        <w:b/>
        <w:iCs/>
        <w:smallCaps/>
        <w:sz w:val="28"/>
        <w:szCs w:val="28"/>
      </w:rPr>
      <w:t xml:space="preserve">Comisión de </w:t>
    </w:r>
    <w:r w:rsidR="003066CB">
      <w:rPr>
        <w:rFonts w:ascii="Century Gothic" w:eastAsia="Calibri" w:hAnsi="Century Gothic" w:cs="Calibri"/>
        <w:b/>
        <w:iCs/>
        <w:smallCaps/>
        <w:sz w:val="28"/>
        <w:szCs w:val="28"/>
      </w:rPr>
      <w:t>____________________________</w:t>
    </w:r>
  </w:p>
  <w:p w14:paraId="14D476F7" w14:textId="3FFAF36C" w:rsidR="003B49DC" w:rsidRPr="00332EE8" w:rsidRDefault="00332EE8" w:rsidP="00332EE8">
    <w:pPr>
      <w:tabs>
        <w:tab w:val="center" w:pos="4419"/>
      </w:tabs>
      <w:spacing w:after="0" w:line="240" w:lineRule="auto"/>
      <w:ind w:left="-425" w:right="-142"/>
      <w:jc w:val="right"/>
      <w:rPr>
        <w:rFonts w:ascii="Century Gothic" w:eastAsia="Calibri" w:hAnsi="Century Gothic" w:cs="Calibri"/>
        <w:bCs/>
        <w:i/>
        <w:smallCaps/>
        <w:sz w:val="21"/>
        <w:szCs w:val="21"/>
      </w:rPr>
    </w:pPr>
    <w:r w:rsidRPr="00FA3083">
      <w:rPr>
        <w:rFonts w:ascii="Century Gothic" w:eastAsia="Calibri" w:hAnsi="Century Gothic" w:cs="Calibri"/>
        <w:bCs/>
        <w:i/>
        <w:smallCaps/>
        <w:sz w:val="21"/>
        <w:szCs w:val="21"/>
      </w:rPr>
      <w:t>“2021,Año de la independencia y la grandeza de México</w:t>
    </w:r>
    <w:r>
      <w:rPr>
        <w:rFonts w:ascii="Century Gothic" w:eastAsia="Calibri" w:hAnsi="Century Gothic" w:cs="Calibri"/>
        <w:bCs/>
        <w:i/>
        <w:smallCaps/>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2CF"/>
    <w:multiLevelType w:val="hybridMultilevel"/>
    <w:tmpl w:val="C9101D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50ED7"/>
    <w:multiLevelType w:val="hybridMultilevel"/>
    <w:tmpl w:val="F040772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33F71"/>
    <w:multiLevelType w:val="hybridMultilevel"/>
    <w:tmpl w:val="A0D698CE"/>
    <w:lvl w:ilvl="0" w:tplc="57B4E9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D2753D"/>
    <w:multiLevelType w:val="hybridMultilevel"/>
    <w:tmpl w:val="DB68E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2B27C5"/>
    <w:multiLevelType w:val="hybridMultilevel"/>
    <w:tmpl w:val="C3562C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34700E"/>
    <w:multiLevelType w:val="hybridMultilevel"/>
    <w:tmpl w:val="3806A4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36593"/>
    <w:multiLevelType w:val="hybridMultilevel"/>
    <w:tmpl w:val="26586A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D3B54"/>
    <w:multiLevelType w:val="hybridMultilevel"/>
    <w:tmpl w:val="F3BE8292"/>
    <w:lvl w:ilvl="0" w:tplc="25766F22">
      <w:start w:val="1"/>
      <w:numFmt w:val="upperRoman"/>
      <w:lvlText w:val="%1."/>
      <w:lvlJc w:val="left"/>
      <w:pPr>
        <w:ind w:left="1288"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3E365B65"/>
    <w:multiLevelType w:val="hybridMultilevel"/>
    <w:tmpl w:val="26EC6D84"/>
    <w:lvl w:ilvl="0" w:tplc="873C6A1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604F20"/>
    <w:multiLevelType w:val="hybridMultilevel"/>
    <w:tmpl w:val="ABF2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F974DA"/>
    <w:multiLevelType w:val="hybridMultilevel"/>
    <w:tmpl w:val="2C0AF894"/>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5F84071B"/>
    <w:multiLevelType w:val="hybridMultilevel"/>
    <w:tmpl w:val="A162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73554"/>
    <w:multiLevelType w:val="hybridMultilevel"/>
    <w:tmpl w:val="1DE65C42"/>
    <w:lvl w:ilvl="0" w:tplc="080A0019">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77E607FD"/>
    <w:multiLevelType w:val="hybridMultilevel"/>
    <w:tmpl w:val="34423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1677D"/>
    <w:multiLevelType w:val="hybridMultilevel"/>
    <w:tmpl w:val="CC9619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1"/>
  </w:num>
  <w:num w:numId="6">
    <w:abstractNumId w:val="14"/>
  </w:num>
  <w:num w:numId="7">
    <w:abstractNumId w:val="4"/>
  </w:num>
  <w:num w:numId="8">
    <w:abstractNumId w:val="12"/>
  </w:num>
  <w:num w:numId="9">
    <w:abstractNumId w:val="6"/>
  </w:num>
  <w:num w:numId="10">
    <w:abstractNumId w:val="13"/>
  </w:num>
  <w:num w:numId="11">
    <w:abstractNumId w:val="11"/>
  </w:num>
  <w:num w:numId="12">
    <w:abstractNumId w:val="5"/>
  </w:num>
  <w:num w:numId="13">
    <w:abstractNumId w:val="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56"/>
    <w:rsid w:val="0000209D"/>
    <w:rsid w:val="00004DC0"/>
    <w:rsid w:val="00005AE3"/>
    <w:rsid w:val="00007EA1"/>
    <w:rsid w:val="00015568"/>
    <w:rsid w:val="000313CA"/>
    <w:rsid w:val="00032EA9"/>
    <w:rsid w:val="00035991"/>
    <w:rsid w:val="0006070E"/>
    <w:rsid w:val="00060AEA"/>
    <w:rsid w:val="00061065"/>
    <w:rsid w:val="0006549D"/>
    <w:rsid w:val="000743EF"/>
    <w:rsid w:val="0007643A"/>
    <w:rsid w:val="00085951"/>
    <w:rsid w:val="00090DFB"/>
    <w:rsid w:val="000921B1"/>
    <w:rsid w:val="000A2CC0"/>
    <w:rsid w:val="000A30A0"/>
    <w:rsid w:val="000A7155"/>
    <w:rsid w:val="000C7231"/>
    <w:rsid w:val="000D28F9"/>
    <w:rsid w:val="000D39C2"/>
    <w:rsid w:val="000E7BDE"/>
    <w:rsid w:val="000F501E"/>
    <w:rsid w:val="00100912"/>
    <w:rsid w:val="0010409E"/>
    <w:rsid w:val="00105B1D"/>
    <w:rsid w:val="00114A8B"/>
    <w:rsid w:val="0011740D"/>
    <w:rsid w:val="00134B02"/>
    <w:rsid w:val="00141A89"/>
    <w:rsid w:val="001810EC"/>
    <w:rsid w:val="001828BF"/>
    <w:rsid w:val="001A0AB3"/>
    <w:rsid w:val="001A3FCC"/>
    <w:rsid w:val="001B4AEF"/>
    <w:rsid w:val="001C0F47"/>
    <w:rsid w:val="001C429A"/>
    <w:rsid w:val="001C4A7D"/>
    <w:rsid w:val="001D0DE5"/>
    <w:rsid w:val="00203057"/>
    <w:rsid w:val="002151C2"/>
    <w:rsid w:val="00232D34"/>
    <w:rsid w:val="00242301"/>
    <w:rsid w:val="00244BE8"/>
    <w:rsid w:val="002544DF"/>
    <w:rsid w:val="00260773"/>
    <w:rsid w:val="00275D79"/>
    <w:rsid w:val="00277C0E"/>
    <w:rsid w:val="0028073E"/>
    <w:rsid w:val="0028221E"/>
    <w:rsid w:val="0028231F"/>
    <w:rsid w:val="00292C38"/>
    <w:rsid w:val="0029519E"/>
    <w:rsid w:val="002B12E3"/>
    <w:rsid w:val="002B1D46"/>
    <w:rsid w:val="002B3A3D"/>
    <w:rsid w:val="002C436C"/>
    <w:rsid w:val="002D2206"/>
    <w:rsid w:val="002D4C42"/>
    <w:rsid w:val="002D55D4"/>
    <w:rsid w:val="002E4C76"/>
    <w:rsid w:val="002E5E57"/>
    <w:rsid w:val="002E62E0"/>
    <w:rsid w:val="002F2742"/>
    <w:rsid w:val="003008DB"/>
    <w:rsid w:val="00302648"/>
    <w:rsid w:val="00302EEA"/>
    <w:rsid w:val="003066CB"/>
    <w:rsid w:val="00323AFF"/>
    <w:rsid w:val="0032466B"/>
    <w:rsid w:val="00332B44"/>
    <w:rsid w:val="00332EE8"/>
    <w:rsid w:val="0033523F"/>
    <w:rsid w:val="003367DC"/>
    <w:rsid w:val="00340F01"/>
    <w:rsid w:val="003525E3"/>
    <w:rsid w:val="003776A8"/>
    <w:rsid w:val="00385D19"/>
    <w:rsid w:val="003B06B3"/>
    <w:rsid w:val="003B49DC"/>
    <w:rsid w:val="003D191B"/>
    <w:rsid w:val="003E3657"/>
    <w:rsid w:val="003E40F4"/>
    <w:rsid w:val="003F0A46"/>
    <w:rsid w:val="003F1CB6"/>
    <w:rsid w:val="00402164"/>
    <w:rsid w:val="00411D0D"/>
    <w:rsid w:val="0041289D"/>
    <w:rsid w:val="00440CAA"/>
    <w:rsid w:val="0044481D"/>
    <w:rsid w:val="00454F38"/>
    <w:rsid w:val="0045521F"/>
    <w:rsid w:val="00465CE3"/>
    <w:rsid w:val="00490549"/>
    <w:rsid w:val="004B1B29"/>
    <w:rsid w:val="004B3489"/>
    <w:rsid w:val="004B73B4"/>
    <w:rsid w:val="004C0B29"/>
    <w:rsid w:val="004C6228"/>
    <w:rsid w:val="004D1A3B"/>
    <w:rsid w:val="004D1BA9"/>
    <w:rsid w:val="004D201B"/>
    <w:rsid w:val="004D3CC7"/>
    <w:rsid w:val="004D61F3"/>
    <w:rsid w:val="004E1EA7"/>
    <w:rsid w:val="004E6ADD"/>
    <w:rsid w:val="004F1410"/>
    <w:rsid w:val="005065FF"/>
    <w:rsid w:val="00507B9F"/>
    <w:rsid w:val="00515497"/>
    <w:rsid w:val="0053255C"/>
    <w:rsid w:val="0053651C"/>
    <w:rsid w:val="00537720"/>
    <w:rsid w:val="00556B11"/>
    <w:rsid w:val="00560320"/>
    <w:rsid w:val="00567547"/>
    <w:rsid w:val="00574859"/>
    <w:rsid w:val="00584677"/>
    <w:rsid w:val="005B0C02"/>
    <w:rsid w:val="005C0271"/>
    <w:rsid w:val="005C2B26"/>
    <w:rsid w:val="005D664B"/>
    <w:rsid w:val="005D7568"/>
    <w:rsid w:val="005E580C"/>
    <w:rsid w:val="005E713E"/>
    <w:rsid w:val="005F580D"/>
    <w:rsid w:val="005F7AF5"/>
    <w:rsid w:val="0060077C"/>
    <w:rsid w:val="006115A2"/>
    <w:rsid w:val="006130DF"/>
    <w:rsid w:val="00621AA2"/>
    <w:rsid w:val="006264FF"/>
    <w:rsid w:val="0064622B"/>
    <w:rsid w:val="00654D29"/>
    <w:rsid w:val="00655E18"/>
    <w:rsid w:val="006633E5"/>
    <w:rsid w:val="00673356"/>
    <w:rsid w:val="0068109B"/>
    <w:rsid w:val="006A121D"/>
    <w:rsid w:val="006A1955"/>
    <w:rsid w:val="006A708A"/>
    <w:rsid w:val="006A76FB"/>
    <w:rsid w:val="006B0079"/>
    <w:rsid w:val="006B25C0"/>
    <w:rsid w:val="006B2B18"/>
    <w:rsid w:val="006D21E7"/>
    <w:rsid w:val="006E09DC"/>
    <w:rsid w:val="006F0FFA"/>
    <w:rsid w:val="006F416A"/>
    <w:rsid w:val="006F5AEB"/>
    <w:rsid w:val="00701872"/>
    <w:rsid w:val="0071215E"/>
    <w:rsid w:val="00714006"/>
    <w:rsid w:val="007150FD"/>
    <w:rsid w:val="007509D0"/>
    <w:rsid w:val="0076173D"/>
    <w:rsid w:val="00762A85"/>
    <w:rsid w:val="00780EAB"/>
    <w:rsid w:val="007858C2"/>
    <w:rsid w:val="00787AC5"/>
    <w:rsid w:val="00796F59"/>
    <w:rsid w:val="007A1DA3"/>
    <w:rsid w:val="007B6361"/>
    <w:rsid w:val="007B6464"/>
    <w:rsid w:val="007C0F2D"/>
    <w:rsid w:val="007C14FF"/>
    <w:rsid w:val="007D4B52"/>
    <w:rsid w:val="007E0DDE"/>
    <w:rsid w:val="007F0CC7"/>
    <w:rsid w:val="00802AF2"/>
    <w:rsid w:val="00810164"/>
    <w:rsid w:val="00810D1D"/>
    <w:rsid w:val="00812495"/>
    <w:rsid w:val="00814971"/>
    <w:rsid w:val="00820BBD"/>
    <w:rsid w:val="00821AC4"/>
    <w:rsid w:val="00831C35"/>
    <w:rsid w:val="00842827"/>
    <w:rsid w:val="00846EBB"/>
    <w:rsid w:val="008526B4"/>
    <w:rsid w:val="00866BCF"/>
    <w:rsid w:val="00870801"/>
    <w:rsid w:val="008727C3"/>
    <w:rsid w:val="008739AC"/>
    <w:rsid w:val="00896040"/>
    <w:rsid w:val="008A4ED5"/>
    <w:rsid w:val="008A6E22"/>
    <w:rsid w:val="008D474E"/>
    <w:rsid w:val="008D4F0F"/>
    <w:rsid w:val="008E5E90"/>
    <w:rsid w:val="008E757E"/>
    <w:rsid w:val="00914E1B"/>
    <w:rsid w:val="00920BCB"/>
    <w:rsid w:val="00920E70"/>
    <w:rsid w:val="00930235"/>
    <w:rsid w:val="00943B12"/>
    <w:rsid w:val="009638A9"/>
    <w:rsid w:val="009655B6"/>
    <w:rsid w:val="00967244"/>
    <w:rsid w:val="00971C01"/>
    <w:rsid w:val="009779C8"/>
    <w:rsid w:val="00984FEE"/>
    <w:rsid w:val="0099262C"/>
    <w:rsid w:val="009A50DF"/>
    <w:rsid w:val="009A511B"/>
    <w:rsid w:val="009A5DE9"/>
    <w:rsid w:val="009C3AFE"/>
    <w:rsid w:val="009C4733"/>
    <w:rsid w:val="009D2E88"/>
    <w:rsid w:val="009E4071"/>
    <w:rsid w:val="009E46DC"/>
    <w:rsid w:val="009E71F1"/>
    <w:rsid w:val="009F01DF"/>
    <w:rsid w:val="009F1962"/>
    <w:rsid w:val="009F692D"/>
    <w:rsid w:val="009F6D88"/>
    <w:rsid w:val="00A25586"/>
    <w:rsid w:val="00A31D30"/>
    <w:rsid w:val="00A33441"/>
    <w:rsid w:val="00A4123F"/>
    <w:rsid w:val="00A46586"/>
    <w:rsid w:val="00A61996"/>
    <w:rsid w:val="00A76FFF"/>
    <w:rsid w:val="00A81D9C"/>
    <w:rsid w:val="00A86716"/>
    <w:rsid w:val="00A91F57"/>
    <w:rsid w:val="00A9370F"/>
    <w:rsid w:val="00AA013B"/>
    <w:rsid w:val="00AA5FD7"/>
    <w:rsid w:val="00AB177B"/>
    <w:rsid w:val="00AB432B"/>
    <w:rsid w:val="00AC493F"/>
    <w:rsid w:val="00AD68A1"/>
    <w:rsid w:val="00AD6F59"/>
    <w:rsid w:val="00B07558"/>
    <w:rsid w:val="00B11D47"/>
    <w:rsid w:val="00B14E84"/>
    <w:rsid w:val="00B20B4F"/>
    <w:rsid w:val="00B218A5"/>
    <w:rsid w:val="00B40C69"/>
    <w:rsid w:val="00B50948"/>
    <w:rsid w:val="00B53F0C"/>
    <w:rsid w:val="00B576DD"/>
    <w:rsid w:val="00B6233A"/>
    <w:rsid w:val="00B75876"/>
    <w:rsid w:val="00B819CC"/>
    <w:rsid w:val="00BA08B7"/>
    <w:rsid w:val="00BB5CB3"/>
    <w:rsid w:val="00C24842"/>
    <w:rsid w:val="00C25C9B"/>
    <w:rsid w:val="00C27A3B"/>
    <w:rsid w:val="00C31575"/>
    <w:rsid w:val="00C41724"/>
    <w:rsid w:val="00C552EF"/>
    <w:rsid w:val="00C65606"/>
    <w:rsid w:val="00C66A56"/>
    <w:rsid w:val="00C87232"/>
    <w:rsid w:val="00C900AF"/>
    <w:rsid w:val="00C97428"/>
    <w:rsid w:val="00CA103E"/>
    <w:rsid w:val="00CA5177"/>
    <w:rsid w:val="00CB406F"/>
    <w:rsid w:val="00CB4996"/>
    <w:rsid w:val="00CC09DB"/>
    <w:rsid w:val="00CC2CA2"/>
    <w:rsid w:val="00CC306B"/>
    <w:rsid w:val="00CD5083"/>
    <w:rsid w:val="00CE3ECC"/>
    <w:rsid w:val="00CF6C6F"/>
    <w:rsid w:val="00CF6D74"/>
    <w:rsid w:val="00D013B5"/>
    <w:rsid w:val="00D07A6F"/>
    <w:rsid w:val="00D271A8"/>
    <w:rsid w:val="00D610A0"/>
    <w:rsid w:val="00D62A82"/>
    <w:rsid w:val="00D62B54"/>
    <w:rsid w:val="00D72CAA"/>
    <w:rsid w:val="00D747B7"/>
    <w:rsid w:val="00D75C64"/>
    <w:rsid w:val="00D805EB"/>
    <w:rsid w:val="00D8187F"/>
    <w:rsid w:val="00D82CEF"/>
    <w:rsid w:val="00D97A9F"/>
    <w:rsid w:val="00DC2D7D"/>
    <w:rsid w:val="00DE070F"/>
    <w:rsid w:val="00DE17F0"/>
    <w:rsid w:val="00DF366F"/>
    <w:rsid w:val="00E074F4"/>
    <w:rsid w:val="00E16B37"/>
    <w:rsid w:val="00E65860"/>
    <w:rsid w:val="00E65CD7"/>
    <w:rsid w:val="00E9231E"/>
    <w:rsid w:val="00E93433"/>
    <w:rsid w:val="00EA793A"/>
    <w:rsid w:val="00EB658A"/>
    <w:rsid w:val="00ED4C48"/>
    <w:rsid w:val="00EE6E7C"/>
    <w:rsid w:val="00F110F3"/>
    <w:rsid w:val="00F12948"/>
    <w:rsid w:val="00F14F4D"/>
    <w:rsid w:val="00F33EE5"/>
    <w:rsid w:val="00F4467A"/>
    <w:rsid w:val="00F61DBC"/>
    <w:rsid w:val="00F61FD1"/>
    <w:rsid w:val="00F67A6F"/>
    <w:rsid w:val="00F70DB4"/>
    <w:rsid w:val="00F72D79"/>
    <w:rsid w:val="00F812AC"/>
    <w:rsid w:val="00F903AF"/>
    <w:rsid w:val="00F93CE7"/>
    <w:rsid w:val="00FA7346"/>
    <w:rsid w:val="00FA77D3"/>
    <w:rsid w:val="00FC0855"/>
    <w:rsid w:val="00FC1B3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DBABD"/>
  <w15:docId w15:val="{9F414284-053C-6B4F-A944-15A9886A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33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3356"/>
    <w:rPr>
      <w:rFonts w:ascii="Tahoma" w:hAnsi="Tahoma" w:cs="Tahoma"/>
      <w:sz w:val="16"/>
      <w:szCs w:val="16"/>
    </w:rPr>
  </w:style>
  <w:style w:type="paragraph" w:styleId="Encabezado">
    <w:name w:val="header"/>
    <w:basedOn w:val="Normal"/>
    <w:link w:val="EncabezadoCar"/>
    <w:uiPriority w:val="99"/>
    <w:unhideWhenUsed/>
    <w:rsid w:val="006733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3356"/>
  </w:style>
  <w:style w:type="paragraph" w:styleId="Piedepgina">
    <w:name w:val="footer"/>
    <w:basedOn w:val="Normal"/>
    <w:link w:val="PiedepginaCar"/>
    <w:uiPriority w:val="99"/>
    <w:unhideWhenUsed/>
    <w:rsid w:val="006733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3356"/>
  </w:style>
  <w:style w:type="table" w:styleId="Tablaconcuadrcula">
    <w:name w:val="Table Grid"/>
    <w:basedOn w:val="Tablanormal"/>
    <w:uiPriority w:val="39"/>
    <w:rsid w:val="0067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67A6F"/>
    <w:pPr>
      <w:spacing w:after="0" w:line="240" w:lineRule="auto"/>
    </w:pPr>
  </w:style>
  <w:style w:type="paragraph" w:styleId="Prrafodelista">
    <w:name w:val="List Paragraph"/>
    <w:basedOn w:val="Normal"/>
    <w:uiPriority w:val="34"/>
    <w:qFormat/>
    <w:rsid w:val="001D0DE5"/>
    <w:pPr>
      <w:spacing w:after="160" w:line="259" w:lineRule="auto"/>
      <w:ind w:left="720"/>
      <w:contextualSpacing/>
    </w:pPr>
  </w:style>
  <w:style w:type="paragraph" w:styleId="NormalWeb">
    <w:name w:val="Normal (Web)"/>
    <w:basedOn w:val="Normal"/>
    <w:uiPriority w:val="99"/>
    <w:unhideWhenUsed/>
    <w:rsid w:val="000C72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567547"/>
    <w:rPr>
      <w:color w:val="0000FF" w:themeColor="hyperlink"/>
      <w:u w:val="single"/>
    </w:rPr>
  </w:style>
  <w:style w:type="character" w:customStyle="1" w:styleId="negritas">
    <w:name w:val="negritas"/>
    <w:basedOn w:val="Fuentedeprrafopredeter"/>
    <w:rsid w:val="00D62A82"/>
  </w:style>
  <w:style w:type="paragraph" w:customStyle="1" w:styleId="sangria">
    <w:name w:val="sangria"/>
    <w:basedOn w:val="Normal"/>
    <w:rsid w:val="00D62A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entrar">
    <w:name w:val="centrar"/>
    <w:basedOn w:val="Normal"/>
    <w:rsid w:val="00D62A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9E46DC"/>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semiHidden/>
    <w:unhideWhenUsed/>
    <w:rsid w:val="006A195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6A195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197">
      <w:bodyDiv w:val="1"/>
      <w:marLeft w:val="0"/>
      <w:marRight w:val="0"/>
      <w:marTop w:val="0"/>
      <w:marBottom w:val="0"/>
      <w:divBdr>
        <w:top w:val="none" w:sz="0" w:space="0" w:color="auto"/>
        <w:left w:val="none" w:sz="0" w:space="0" w:color="auto"/>
        <w:bottom w:val="none" w:sz="0" w:space="0" w:color="auto"/>
        <w:right w:val="none" w:sz="0" w:space="0" w:color="auto"/>
      </w:divBdr>
    </w:div>
    <w:div w:id="57214094">
      <w:bodyDiv w:val="1"/>
      <w:marLeft w:val="0"/>
      <w:marRight w:val="0"/>
      <w:marTop w:val="0"/>
      <w:marBottom w:val="0"/>
      <w:divBdr>
        <w:top w:val="none" w:sz="0" w:space="0" w:color="auto"/>
        <w:left w:val="none" w:sz="0" w:space="0" w:color="auto"/>
        <w:bottom w:val="none" w:sz="0" w:space="0" w:color="auto"/>
        <w:right w:val="none" w:sz="0" w:space="0" w:color="auto"/>
      </w:divBdr>
    </w:div>
    <w:div w:id="86074245">
      <w:bodyDiv w:val="1"/>
      <w:marLeft w:val="0"/>
      <w:marRight w:val="0"/>
      <w:marTop w:val="0"/>
      <w:marBottom w:val="0"/>
      <w:divBdr>
        <w:top w:val="none" w:sz="0" w:space="0" w:color="auto"/>
        <w:left w:val="none" w:sz="0" w:space="0" w:color="auto"/>
        <w:bottom w:val="none" w:sz="0" w:space="0" w:color="auto"/>
        <w:right w:val="none" w:sz="0" w:space="0" w:color="auto"/>
      </w:divBdr>
    </w:div>
    <w:div w:id="98528245">
      <w:bodyDiv w:val="1"/>
      <w:marLeft w:val="0"/>
      <w:marRight w:val="0"/>
      <w:marTop w:val="0"/>
      <w:marBottom w:val="0"/>
      <w:divBdr>
        <w:top w:val="none" w:sz="0" w:space="0" w:color="auto"/>
        <w:left w:val="none" w:sz="0" w:space="0" w:color="auto"/>
        <w:bottom w:val="none" w:sz="0" w:space="0" w:color="auto"/>
        <w:right w:val="none" w:sz="0" w:space="0" w:color="auto"/>
      </w:divBdr>
    </w:div>
    <w:div w:id="185795656">
      <w:bodyDiv w:val="1"/>
      <w:marLeft w:val="0"/>
      <w:marRight w:val="0"/>
      <w:marTop w:val="0"/>
      <w:marBottom w:val="0"/>
      <w:divBdr>
        <w:top w:val="none" w:sz="0" w:space="0" w:color="auto"/>
        <w:left w:val="none" w:sz="0" w:space="0" w:color="auto"/>
        <w:bottom w:val="none" w:sz="0" w:space="0" w:color="auto"/>
        <w:right w:val="none" w:sz="0" w:space="0" w:color="auto"/>
      </w:divBdr>
    </w:div>
    <w:div w:id="366369489">
      <w:bodyDiv w:val="1"/>
      <w:marLeft w:val="0"/>
      <w:marRight w:val="0"/>
      <w:marTop w:val="0"/>
      <w:marBottom w:val="0"/>
      <w:divBdr>
        <w:top w:val="none" w:sz="0" w:space="0" w:color="auto"/>
        <w:left w:val="none" w:sz="0" w:space="0" w:color="auto"/>
        <w:bottom w:val="none" w:sz="0" w:space="0" w:color="auto"/>
        <w:right w:val="none" w:sz="0" w:space="0" w:color="auto"/>
      </w:divBdr>
    </w:div>
    <w:div w:id="384178552">
      <w:bodyDiv w:val="1"/>
      <w:marLeft w:val="0"/>
      <w:marRight w:val="0"/>
      <w:marTop w:val="0"/>
      <w:marBottom w:val="0"/>
      <w:divBdr>
        <w:top w:val="none" w:sz="0" w:space="0" w:color="auto"/>
        <w:left w:val="none" w:sz="0" w:space="0" w:color="auto"/>
        <w:bottom w:val="none" w:sz="0" w:space="0" w:color="auto"/>
        <w:right w:val="none" w:sz="0" w:space="0" w:color="auto"/>
      </w:divBdr>
    </w:div>
    <w:div w:id="397360236">
      <w:bodyDiv w:val="1"/>
      <w:marLeft w:val="0"/>
      <w:marRight w:val="0"/>
      <w:marTop w:val="0"/>
      <w:marBottom w:val="0"/>
      <w:divBdr>
        <w:top w:val="none" w:sz="0" w:space="0" w:color="auto"/>
        <w:left w:val="none" w:sz="0" w:space="0" w:color="auto"/>
        <w:bottom w:val="none" w:sz="0" w:space="0" w:color="auto"/>
        <w:right w:val="none" w:sz="0" w:space="0" w:color="auto"/>
      </w:divBdr>
    </w:div>
    <w:div w:id="399258579">
      <w:bodyDiv w:val="1"/>
      <w:marLeft w:val="0"/>
      <w:marRight w:val="0"/>
      <w:marTop w:val="0"/>
      <w:marBottom w:val="0"/>
      <w:divBdr>
        <w:top w:val="none" w:sz="0" w:space="0" w:color="auto"/>
        <w:left w:val="none" w:sz="0" w:space="0" w:color="auto"/>
        <w:bottom w:val="none" w:sz="0" w:space="0" w:color="auto"/>
        <w:right w:val="none" w:sz="0" w:space="0" w:color="auto"/>
      </w:divBdr>
    </w:div>
    <w:div w:id="471291291">
      <w:bodyDiv w:val="1"/>
      <w:marLeft w:val="0"/>
      <w:marRight w:val="0"/>
      <w:marTop w:val="0"/>
      <w:marBottom w:val="0"/>
      <w:divBdr>
        <w:top w:val="none" w:sz="0" w:space="0" w:color="auto"/>
        <w:left w:val="none" w:sz="0" w:space="0" w:color="auto"/>
        <w:bottom w:val="none" w:sz="0" w:space="0" w:color="auto"/>
        <w:right w:val="none" w:sz="0" w:space="0" w:color="auto"/>
      </w:divBdr>
    </w:div>
    <w:div w:id="776217640">
      <w:bodyDiv w:val="1"/>
      <w:marLeft w:val="0"/>
      <w:marRight w:val="0"/>
      <w:marTop w:val="0"/>
      <w:marBottom w:val="0"/>
      <w:divBdr>
        <w:top w:val="none" w:sz="0" w:space="0" w:color="auto"/>
        <w:left w:val="none" w:sz="0" w:space="0" w:color="auto"/>
        <w:bottom w:val="none" w:sz="0" w:space="0" w:color="auto"/>
        <w:right w:val="none" w:sz="0" w:space="0" w:color="auto"/>
      </w:divBdr>
    </w:div>
    <w:div w:id="824859553">
      <w:bodyDiv w:val="1"/>
      <w:marLeft w:val="0"/>
      <w:marRight w:val="0"/>
      <w:marTop w:val="0"/>
      <w:marBottom w:val="0"/>
      <w:divBdr>
        <w:top w:val="none" w:sz="0" w:space="0" w:color="auto"/>
        <w:left w:val="none" w:sz="0" w:space="0" w:color="auto"/>
        <w:bottom w:val="none" w:sz="0" w:space="0" w:color="auto"/>
        <w:right w:val="none" w:sz="0" w:space="0" w:color="auto"/>
      </w:divBdr>
    </w:div>
    <w:div w:id="846866056">
      <w:bodyDiv w:val="1"/>
      <w:marLeft w:val="0"/>
      <w:marRight w:val="0"/>
      <w:marTop w:val="0"/>
      <w:marBottom w:val="0"/>
      <w:divBdr>
        <w:top w:val="none" w:sz="0" w:space="0" w:color="auto"/>
        <w:left w:val="none" w:sz="0" w:space="0" w:color="auto"/>
        <w:bottom w:val="none" w:sz="0" w:space="0" w:color="auto"/>
        <w:right w:val="none" w:sz="0" w:space="0" w:color="auto"/>
      </w:divBdr>
    </w:div>
    <w:div w:id="891235322">
      <w:bodyDiv w:val="1"/>
      <w:marLeft w:val="0"/>
      <w:marRight w:val="0"/>
      <w:marTop w:val="0"/>
      <w:marBottom w:val="0"/>
      <w:divBdr>
        <w:top w:val="none" w:sz="0" w:space="0" w:color="auto"/>
        <w:left w:val="none" w:sz="0" w:space="0" w:color="auto"/>
        <w:bottom w:val="none" w:sz="0" w:space="0" w:color="auto"/>
        <w:right w:val="none" w:sz="0" w:space="0" w:color="auto"/>
      </w:divBdr>
    </w:div>
    <w:div w:id="973633197">
      <w:bodyDiv w:val="1"/>
      <w:marLeft w:val="0"/>
      <w:marRight w:val="0"/>
      <w:marTop w:val="0"/>
      <w:marBottom w:val="0"/>
      <w:divBdr>
        <w:top w:val="none" w:sz="0" w:space="0" w:color="auto"/>
        <w:left w:val="none" w:sz="0" w:space="0" w:color="auto"/>
        <w:bottom w:val="none" w:sz="0" w:space="0" w:color="auto"/>
        <w:right w:val="none" w:sz="0" w:space="0" w:color="auto"/>
      </w:divBdr>
    </w:div>
    <w:div w:id="1188258398">
      <w:bodyDiv w:val="1"/>
      <w:marLeft w:val="0"/>
      <w:marRight w:val="0"/>
      <w:marTop w:val="0"/>
      <w:marBottom w:val="0"/>
      <w:divBdr>
        <w:top w:val="none" w:sz="0" w:space="0" w:color="auto"/>
        <w:left w:val="none" w:sz="0" w:space="0" w:color="auto"/>
        <w:bottom w:val="none" w:sz="0" w:space="0" w:color="auto"/>
        <w:right w:val="none" w:sz="0" w:space="0" w:color="auto"/>
      </w:divBdr>
    </w:div>
    <w:div w:id="1260334079">
      <w:bodyDiv w:val="1"/>
      <w:marLeft w:val="0"/>
      <w:marRight w:val="0"/>
      <w:marTop w:val="0"/>
      <w:marBottom w:val="0"/>
      <w:divBdr>
        <w:top w:val="none" w:sz="0" w:space="0" w:color="auto"/>
        <w:left w:val="none" w:sz="0" w:space="0" w:color="auto"/>
        <w:bottom w:val="none" w:sz="0" w:space="0" w:color="auto"/>
        <w:right w:val="none" w:sz="0" w:space="0" w:color="auto"/>
      </w:divBdr>
    </w:div>
    <w:div w:id="1429041315">
      <w:bodyDiv w:val="1"/>
      <w:marLeft w:val="0"/>
      <w:marRight w:val="0"/>
      <w:marTop w:val="0"/>
      <w:marBottom w:val="0"/>
      <w:divBdr>
        <w:top w:val="none" w:sz="0" w:space="0" w:color="auto"/>
        <w:left w:val="none" w:sz="0" w:space="0" w:color="auto"/>
        <w:bottom w:val="none" w:sz="0" w:space="0" w:color="auto"/>
        <w:right w:val="none" w:sz="0" w:space="0" w:color="auto"/>
      </w:divBdr>
      <w:divsChild>
        <w:div w:id="185336308">
          <w:marLeft w:val="0"/>
          <w:marRight w:val="0"/>
          <w:marTop w:val="0"/>
          <w:marBottom w:val="0"/>
          <w:divBdr>
            <w:top w:val="none" w:sz="0" w:space="0" w:color="auto"/>
            <w:left w:val="none" w:sz="0" w:space="0" w:color="auto"/>
            <w:bottom w:val="none" w:sz="0" w:space="0" w:color="auto"/>
            <w:right w:val="none" w:sz="0" w:space="0" w:color="auto"/>
          </w:divBdr>
        </w:div>
        <w:div w:id="66389046">
          <w:marLeft w:val="0"/>
          <w:marRight w:val="0"/>
          <w:marTop w:val="0"/>
          <w:marBottom w:val="0"/>
          <w:divBdr>
            <w:top w:val="none" w:sz="0" w:space="0" w:color="auto"/>
            <w:left w:val="none" w:sz="0" w:space="0" w:color="auto"/>
            <w:bottom w:val="none" w:sz="0" w:space="0" w:color="auto"/>
            <w:right w:val="none" w:sz="0" w:space="0" w:color="auto"/>
          </w:divBdr>
        </w:div>
        <w:div w:id="196623625">
          <w:marLeft w:val="0"/>
          <w:marRight w:val="0"/>
          <w:marTop w:val="0"/>
          <w:marBottom w:val="0"/>
          <w:divBdr>
            <w:top w:val="none" w:sz="0" w:space="0" w:color="auto"/>
            <w:left w:val="none" w:sz="0" w:space="0" w:color="auto"/>
            <w:bottom w:val="none" w:sz="0" w:space="0" w:color="auto"/>
            <w:right w:val="none" w:sz="0" w:space="0" w:color="auto"/>
          </w:divBdr>
        </w:div>
        <w:div w:id="198473878">
          <w:marLeft w:val="0"/>
          <w:marRight w:val="0"/>
          <w:marTop w:val="0"/>
          <w:marBottom w:val="0"/>
          <w:divBdr>
            <w:top w:val="none" w:sz="0" w:space="0" w:color="auto"/>
            <w:left w:val="none" w:sz="0" w:space="0" w:color="auto"/>
            <w:bottom w:val="none" w:sz="0" w:space="0" w:color="auto"/>
            <w:right w:val="none" w:sz="0" w:space="0" w:color="auto"/>
          </w:divBdr>
        </w:div>
        <w:div w:id="997155696">
          <w:marLeft w:val="0"/>
          <w:marRight w:val="0"/>
          <w:marTop w:val="0"/>
          <w:marBottom w:val="0"/>
          <w:divBdr>
            <w:top w:val="none" w:sz="0" w:space="0" w:color="auto"/>
            <w:left w:val="none" w:sz="0" w:space="0" w:color="auto"/>
            <w:bottom w:val="none" w:sz="0" w:space="0" w:color="auto"/>
            <w:right w:val="none" w:sz="0" w:space="0" w:color="auto"/>
          </w:divBdr>
        </w:div>
        <w:div w:id="1520043759">
          <w:marLeft w:val="0"/>
          <w:marRight w:val="0"/>
          <w:marTop w:val="0"/>
          <w:marBottom w:val="0"/>
          <w:divBdr>
            <w:top w:val="none" w:sz="0" w:space="0" w:color="auto"/>
            <w:left w:val="none" w:sz="0" w:space="0" w:color="auto"/>
            <w:bottom w:val="none" w:sz="0" w:space="0" w:color="auto"/>
            <w:right w:val="none" w:sz="0" w:space="0" w:color="auto"/>
          </w:divBdr>
        </w:div>
        <w:div w:id="396052305">
          <w:marLeft w:val="0"/>
          <w:marRight w:val="0"/>
          <w:marTop w:val="0"/>
          <w:marBottom w:val="0"/>
          <w:divBdr>
            <w:top w:val="none" w:sz="0" w:space="0" w:color="auto"/>
            <w:left w:val="none" w:sz="0" w:space="0" w:color="auto"/>
            <w:bottom w:val="none" w:sz="0" w:space="0" w:color="auto"/>
            <w:right w:val="none" w:sz="0" w:space="0" w:color="auto"/>
          </w:divBdr>
        </w:div>
        <w:div w:id="3409603">
          <w:marLeft w:val="0"/>
          <w:marRight w:val="0"/>
          <w:marTop w:val="0"/>
          <w:marBottom w:val="0"/>
          <w:divBdr>
            <w:top w:val="none" w:sz="0" w:space="0" w:color="auto"/>
            <w:left w:val="none" w:sz="0" w:space="0" w:color="auto"/>
            <w:bottom w:val="none" w:sz="0" w:space="0" w:color="auto"/>
            <w:right w:val="none" w:sz="0" w:space="0" w:color="auto"/>
          </w:divBdr>
        </w:div>
        <w:div w:id="2033799680">
          <w:marLeft w:val="0"/>
          <w:marRight w:val="0"/>
          <w:marTop w:val="0"/>
          <w:marBottom w:val="0"/>
          <w:divBdr>
            <w:top w:val="none" w:sz="0" w:space="0" w:color="auto"/>
            <w:left w:val="none" w:sz="0" w:space="0" w:color="auto"/>
            <w:bottom w:val="none" w:sz="0" w:space="0" w:color="auto"/>
            <w:right w:val="none" w:sz="0" w:space="0" w:color="auto"/>
          </w:divBdr>
        </w:div>
        <w:div w:id="1722512763">
          <w:marLeft w:val="0"/>
          <w:marRight w:val="0"/>
          <w:marTop w:val="0"/>
          <w:marBottom w:val="0"/>
          <w:divBdr>
            <w:top w:val="none" w:sz="0" w:space="0" w:color="auto"/>
            <w:left w:val="none" w:sz="0" w:space="0" w:color="auto"/>
            <w:bottom w:val="none" w:sz="0" w:space="0" w:color="auto"/>
            <w:right w:val="none" w:sz="0" w:space="0" w:color="auto"/>
          </w:divBdr>
        </w:div>
        <w:div w:id="217009805">
          <w:marLeft w:val="0"/>
          <w:marRight w:val="0"/>
          <w:marTop w:val="0"/>
          <w:marBottom w:val="0"/>
          <w:divBdr>
            <w:top w:val="none" w:sz="0" w:space="0" w:color="auto"/>
            <w:left w:val="none" w:sz="0" w:space="0" w:color="auto"/>
            <w:bottom w:val="none" w:sz="0" w:space="0" w:color="auto"/>
            <w:right w:val="none" w:sz="0" w:space="0" w:color="auto"/>
          </w:divBdr>
        </w:div>
        <w:div w:id="517276254">
          <w:marLeft w:val="0"/>
          <w:marRight w:val="0"/>
          <w:marTop w:val="0"/>
          <w:marBottom w:val="0"/>
          <w:divBdr>
            <w:top w:val="none" w:sz="0" w:space="0" w:color="auto"/>
            <w:left w:val="none" w:sz="0" w:space="0" w:color="auto"/>
            <w:bottom w:val="none" w:sz="0" w:space="0" w:color="auto"/>
            <w:right w:val="none" w:sz="0" w:space="0" w:color="auto"/>
          </w:divBdr>
        </w:div>
      </w:divsChild>
    </w:div>
    <w:div w:id="1483618914">
      <w:bodyDiv w:val="1"/>
      <w:marLeft w:val="0"/>
      <w:marRight w:val="0"/>
      <w:marTop w:val="0"/>
      <w:marBottom w:val="0"/>
      <w:divBdr>
        <w:top w:val="none" w:sz="0" w:space="0" w:color="auto"/>
        <w:left w:val="none" w:sz="0" w:space="0" w:color="auto"/>
        <w:bottom w:val="none" w:sz="0" w:space="0" w:color="auto"/>
        <w:right w:val="none" w:sz="0" w:space="0" w:color="auto"/>
      </w:divBdr>
    </w:div>
    <w:div w:id="1561210602">
      <w:bodyDiv w:val="1"/>
      <w:marLeft w:val="0"/>
      <w:marRight w:val="0"/>
      <w:marTop w:val="0"/>
      <w:marBottom w:val="0"/>
      <w:divBdr>
        <w:top w:val="none" w:sz="0" w:space="0" w:color="auto"/>
        <w:left w:val="none" w:sz="0" w:space="0" w:color="auto"/>
        <w:bottom w:val="none" w:sz="0" w:space="0" w:color="auto"/>
        <w:right w:val="none" w:sz="0" w:space="0" w:color="auto"/>
      </w:divBdr>
    </w:div>
    <w:div w:id="1604340229">
      <w:bodyDiv w:val="1"/>
      <w:marLeft w:val="0"/>
      <w:marRight w:val="0"/>
      <w:marTop w:val="0"/>
      <w:marBottom w:val="0"/>
      <w:divBdr>
        <w:top w:val="none" w:sz="0" w:space="0" w:color="auto"/>
        <w:left w:val="none" w:sz="0" w:space="0" w:color="auto"/>
        <w:bottom w:val="none" w:sz="0" w:space="0" w:color="auto"/>
        <w:right w:val="none" w:sz="0" w:space="0" w:color="auto"/>
      </w:divBdr>
    </w:div>
    <w:div w:id="1667244732">
      <w:bodyDiv w:val="1"/>
      <w:marLeft w:val="0"/>
      <w:marRight w:val="0"/>
      <w:marTop w:val="0"/>
      <w:marBottom w:val="0"/>
      <w:divBdr>
        <w:top w:val="none" w:sz="0" w:space="0" w:color="auto"/>
        <w:left w:val="none" w:sz="0" w:space="0" w:color="auto"/>
        <w:bottom w:val="none" w:sz="0" w:space="0" w:color="auto"/>
        <w:right w:val="none" w:sz="0" w:space="0" w:color="auto"/>
      </w:divBdr>
    </w:div>
    <w:div w:id="1680497714">
      <w:bodyDiv w:val="1"/>
      <w:marLeft w:val="0"/>
      <w:marRight w:val="0"/>
      <w:marTop w:val="0"/>
      <w:marBottom w:val="0"/>
      <w:divBdr>
        <w:top w:val="none" w:sz="0" w:space="0" w:color="auto"/>
        <w:left w:val="none" w:sz="0" w:space="0" w:color="auto"/>
        <w:bottom w:val="none" w:sz="0" w:space="0" w:color="auto"/>
        <w:right w:val="none" w:sz="0" w:space="0" w:color="auto"/>
      </w:divBdr>
    </w:div>
    <w:div w:id="1744179842">
      <w:bodyDiv w:val="1"/>
      <w:marLeft w:val="0"/>
      <w:marRight w:val="0"/>
      <w:marTop w:val="0"/>
      <w:marBottom w:val="0"/>
      <w:divBdr>
        <w:top w:val="none" w:sz="0" w:space="0" w:color="auto"/>
        <w:left w:val="none" w:sz="0" w:space="0" w:color="auto"/>
        <w:bottom w:val="none" w:sz="0" w:space="0" w:color="auto"/>
        <w:right w:val="none" w:sz="0" w:space="0" w:color="auto"/>
      </w:divBdr>
    </w:div>
    <w:div w:id="1818574716">
      <w:bodyDiv w:val="1"/>
      <w:marLeft w:val="0"/>
      <w:marRight w:val="0"/>
      <w:marTop w:val="0"/>
      <w:marBottom w:val="0"/>
      <w:divBdr>
        <w:top w:val="none" w:sz="0" w:space="0" w:color="auto"/>
        <w:left w:val="none" w:sz="0" w:space="0" w:color="auto"/>
        <w:bottom w:val="none" w:sz="0" w:space="0" w:color="auto"/>
        <w:right w:val="none" w:sz="0" w:space="0" w:color="auto"/>
      </w:divBdr>
    </w:div>
    <w:div w:id="1846824937">
      <w:bodyDiv w:val="1"/>
      <w:marLeft w:val="0"/>
      <w:marRight w:val="0"/>
      <w:marTop w:val="0"/>
      <w:marBottom w:val="0"/>
      <w:divBdr>
        <w:top w:val="none" w:sz="0" w:space="0" w:color="auto"/>
        <w:left w:val="none" w:sz="0" w:space="0" w:color="auto"/>
        <w:bottom w:val="none" w:sz="0" w:space="0" w:color="auto"/>
        <w:right w:val="none" w:sz="0" w:space="0" w:color="auto"/>
      </w:divBdr>
    </w:div>
    <w:div w:id="200219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949D2-7C07-4D05-902A-DE0F4A45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Neira Itandehui Alvarado Morales</cp:lastModifiedBy>
  <cp:revision>3</cp:revision>
  <cp:lastPrinted>2020-09-10T21:40:00Z</cp:lastPrinted>
  <dcterms:created xsi:type="dcterms:W3CDTF">2021-10-13T00:11:00Z</dcterms:created>
  <dcterms:modified xsi:type="dcterms:W3CDTF">2021-10-15T19:37:00Z</dcterms:modified>
</cp:coreProperties>
</file>